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85FF" w14:textId="77777777" w:rsidR="00BC2C95" w:rsidRPr="00625BC2" w:rsidRDefault="00BC2C95" w:rsidP="00077B09">
      <w:pPr>
        <w:pStyle w:val="Heading1a"/>
        <w:keepNext w:val="0"/>
        <w:keepLines w:val="0"/>
        <w:tabs>
          <w:tab w:val="clear" w:pos="-720"/>
        </w:tabs>
        <w:suppressAutoHyphens w:val="0"/>
        <w:spacing w:line="276" w:lineRule="auto"/>
        <w:rPr>
          <w:bCs/>
          <w:smallCaps w:val="0"/>
          <w:color w:val="002060"/>
          <w:sz w:val="24"/>
          <w:szCs w:val="24"/>
        </w:rPr>
      </w:pPr>
      <w:bookmarkStart w:id="0" w:name="_Hlk151369851"/>
      <w:r w:rsidRPr="00625BC2">
        <w:rPr>
          <w:bCs/>
          <w:smallCaps w:val="0"/>
          <w:color w:val="002060"/>
          <w:sz w:val="24"/>
          <w:szCs w:val="24"/>
        </w:rPr>
        <w:t>REQUEST FOR EXPRESSIONS OF INTEREST</w:t>
      </w:r>
      <w:r w:rsidR="004C656F" w:rsidRPr="00625BC2">
        <w:rPr>
          <w:bCs/>
          <w:smallCaps w:val="0"/>
          <w:color w:val="002060"/>
          <w:sz w:val="24"/>
          <w:szCs w:val="24"/>
        </w:rPr>
        <w:t xml:space="preserve"> (REOI)</w:t>
      </w:r>
    </w:p>
    <w:p w14:paraId="78736F56" w14:textId="77777777" w:rsidR="00BC2C95" w:rsidRPr="00625BC2" w:rsidRDefault="00BC2C95" w:rsidP="00077B09">
      <w:pPr>
        <w:pStyle w:val="Heading1a"/>
        <w:keepNext w:val="0"/>
        <w:keepLines w:val="0"/>
        <w:tabs>
          <w:tab w:val="clear" w:pos="-720"/>
        </w:tabs>
        <w:suppressAutoHyphens w:val="0"/>
        <w:spacing w:line="276" w:lineRule="auto"/>
        <w:rPr>
          <w:bCs/>
          <w:smallCaps w:val="0"/>
          <w:color w:val="002060"/>
          <w:sz w:val="24"/>
          <w:szCs w:val="24"/>
        </w:rPr>
      </w:pPr>
      <w:r w:rsidRPr="00625BC2">
        <w:rPr>
          <w:bCs/>
          <w:smallCaps w:val="0"/>
          <w:color w:val="002060"/>
          <w:sz w:val="24"/>
          <w:szCs w:val="24"/>
        </w:rPr>
        <w:t>(CONSULTING SERVICES)</w:t>
      </w:r>
    </w:p>
    <w:p w14:paraId="7F831F10" w14:textId="0AC9B78F" w:rsidR="00BC2C95" w:rsidRPr="00625BC2" w:rsidRDefault="002B2F2C" w:rsidP="00077B09">
      <w:pPr>
        <w:suppressAutoHyphens/>
        <w:spacing w:line="276" w:lineRule="auto"/>
        <w:jc w:val="center"/>
        <w:rPr>
          <w:rFonts w:ascii="Times New Roman" w:hAnsi="Times New Roman"/>
          <w:color w:val="002060"/>
          <w:spacing w:val="-2"/>
          <w:sz w:val="24"/>
        </w:rPr>
      </w:pPr>
      <w:r w:rsidRPr="00625BC2">
        <w:rPr>
          <w:rFonts w:ascii="Times New Roman" w:hAnsi="Times New Roman"/>
          <w:color w:val="002060"/>
          <w:spacing w:val="-2"/>
          <w:sz w:val="24"/>
        </w:rPr>
        <w:t xml:space="preserve">Firms </w:t>
      </w:r>
      <w:r w:rsidR="00130E23" w:rsidRPr="00625BC2">
        <w:rPr>
          <w:rFonts w:ascii="Times New Roman" w:hAnsi="Times New Roman"/>
          <w:color w:val="002060"/>
          <w:spacing w:val="-2"/>
          <w:sz w:val="24"/>
        </w:rPr>
        <w:t xml:space="preserve">Selection </w:t>
      </w:r>
      <w:bookmarkEnd w:id="0"/>
    </w:p>
    <w:p w14:paraId="644BAD82" w14:textId="77777777" w:rsidR="00BC2C95" w:rsidRPr="00625BC2" w:rsidRDefault="00BC2C95" w:rsidP="00077B09">
      <w:pPr>
        <w:pStyle w:val="ChapterNumber"/>
        <w:tabs>
          <w:tab w:val="clear" w:pos="-720"/>
        </w:tabs>
        <w:spacing w:line="276" w:lineRule="auto"/>
        <w:jc w:val="center"/>
        <w:rPr>
          <w:rFonts w:ascii="Times New Roman" w:hAnsi="Times New Roman"/>
          <w:color w:val="002060"/>
          <w:spacing w:val="-2"/>
          <w:sz w:val="24"/>
          <w:szCs w:val="24"/>
        </w:rPr>
      </w:pPr>
    </w:p>
    <w:p w14:paraId="464C4871" w14:textId="3FACB60B" w:rsidR="00F33CF7" w:rsidRPr="001C4086" w:rsidRDefault="00077B09" w:rsidP="006151F9">
      <w:pPr>
        <w:spacing w:line="276" w:lineRule="auto"/>
        <w:ind w:right="26"/>
        <w:jc w:val="both"/>
        <w:rPr>
          <w:rFonts w:ascii="Times New Roman" w:hAnsi="Times New Roman"/>
          <w:bCs w:val="0"/>
          <w:caps/>
          <w:color w:val="002060"/>
          <w:sz w:val="24"/>
        </w:rPr>
      </w:pPr>
      <w:bookmarkStart w:id="1" w:name="_Hlk151369886"/>
      <w:r w:rsidRPr="001C4086">
        <w:rPr>
          <w:rFonts w:ascii="Times New Roman" w:hAnsi="Times New Roman"/>
          <w:bCs w:val="0"/>
          <w:color w:val="002060"/>
          <w:sz w:val="24"/>
        </w:rPr>
        <w:t>Climate Resilience and Agriculture Development Project</w:t>
      </w:r>
      <w:r w:rsidR="00462F6A" w:rsidRPr="001C4086">
        <w:rPr>
          <w:rFonts w:ascii="Times New Roman" w:hAnsi="Times New Roman"/>
          <w:bCs w:val="0"/>
          <w:color w:val="002060"/>
          <w:sz w:val="24"/>
        </w:rPr>
        <w:t xml:space="preserve"> in Albania</w:t>
      </w:r>
    </w:p>
    <w:p w14:paraId="7783E652" w14:textId="6EA4DD01" w:rsidR="00BC2C95" w:rsidRPr="001C4086" w:rsidRDefault="00BC2C95" w:rsidP="006151F9">
      <w:pPr>
        <w:pStyle w:val="BodyText"/>
        <w:spacing w:line="276" w:lineRule="auto"/>
        <w:rPr>
          <w:rFonts w:ascii="Times New Roman" w:hAnsi="Times New Roman" w:cs="Times New Roman"/>
          <w:b/>
          <w:color w:val="002060"/>
          <w:sz w:val="24"/>
        </w:rPr>
      </w:pPr>
      <w:r w:rsidRPr="001C4086">
        <w:rPr>
          <w:rFonts w:ascii="Times New Roman" w:hAnsi="Times New Roman" w:cs="Times New Roman"/>
          <w:color w:val="002060"/>
          <w:sz w:val="24"/>
        </w:rPr>
        <w:t>Project ID</w:t>
      </w:r>
      <w:r w:rsidR="004C656F" w:rsidRPr="001C4086">
        <w:rPr>
          <w:rFonts w:ascii="Times New Roman" w:hAnsi="Times New Roman" w:cs="Times New Roman"/>
          <w:color w:val="002060"/>
          <w:sz w:val="24"/>
        </w:rPr>
        <w:t xml:space="preserve"> Number</w:t>
      </w:r>
      <w:r w:rsidRPr="001C4086">
        <w:rPr>
          <w:rFonts w:ascii="Times New Roman" w:hAnsi="Times New Roman" w:cs="Times New Roman"/>
          <w:b/>
          <w:color w:val="002060"/>
          <w:sz w:val="24"/>
        </w:rPr>
        <w:t>: P</w:t>
      </w:r>
      <w:r w:rsidR="009375B3" w:rsidRPr="001C4086">
        <w:rPr>
          <w:rFonts w:ascii="Times New Roman" w:hAnsi="Times New Roman" w:cs="Times New Roman"/>
          <w:b/>
          <w:color w:val="002060"/>
          <w:sz w:val="24"/>
        </w:rPr>
        <w:t>178715</w:t>
      </w:r>
    </w:p>
    <w:p w14:paraId="1A27DEBD" w14:textId="2C4C20E8" w:rsidR="00BC2C95" w:rsidRPr="001C4086" w:rsidRDefault="00BC2C95" w:rsidP="006151F9">
      <w:pPr>
        <w:pStyle w:val="BodyText"/>
        <w:spacing w:line="276" w:lineRule="auto"/>
        <w:rPr>
          <w:rFonts w:ascii="Times New Roman" w:hAnsi="Times New Roman" w:cs="Times New Roman"/>
          <w:b/>
          <w:color w:val="002060"/>
          <w:sz w:val="24"/>
        </w:rPr>
      </w:pPr>
      <w:r w:rsidRPr="001C4086">
        <w:rPr>
          <w:rFonts w:ascii="Times New Roman" w:hAnsi="Times New Roman" w:cs="Times New Roman"/>
          <w:bCs/>
          <w:color w:val="002060"/>
          <w:sz w:val="24"/>
        </w:rPr>
        <w:t>IBRD Loan</w:t>
      </w:r>
      <w:r w:rsidR="004C656F" w:rsidRPr="001C4086">
        <w:rPr>
          <w:rFonts w:ascii="Times New Roman" w:hAnsi="Times New Roman" w:cs="Times New Roman"/>
          <w:bCs/>
          <w:color w:val="002060"/>
          <w:sz w:val="24"/>
        </w:rPr>
        <w:t xml:space="preserve"> Number</w:t>
      </w:r>
      <w:r w:rsidRPr="001C4086">
        <w:rPr>
          <w:rFonts w:ascii="Times New Roman" w:hAnsi="Times New Roman" w:cs="Times New Roman"/>
          <w:b/>
          <w:bCs/>
          <w:color w:val="002060"/>
          <w:sz w:val="24"/>
        </w:rPr>
        <w:t>:</w:t>
      </w:r>
      <w:r w:rsidR="00D31159" w:rsidRPr="001C4086">
        <w:rPr>
          <w:rFonts w:ascii="Times New Roman" w:hAnsi="Times New Roman" w:cs="Times New Roman"/>
          <w:b/>
          <w:bCs/>
          <w:color w:val="002060"/>
          <w:sz w:val="24"/>
        </w:rPr>
        <w:t xml:space="preserve"> </w:t>
      </w:r>
      <w:r w:rsidR="009375B3" w:rsidRPr="001C4086">
        <w:rPr>
          <w:rFonts w:ascii="Times New Roman" w:hAnsi="Times New Roman" w:cs="Times New Roman"/>
          <w:b/>
          <w:color w:val="002060"/>
          <w:sz w:val="24"/>
        </w:rPr>
        <w:t>94890</w:t>
      </w:r>
      <w:r w:rsidRPr="001C4086">
        <w:rPr>
          <w:rFonts w:ascii="Times New Roman" w:hAnsi="Times New Roman" w:cs="Times New Roman"/>
          <w:b/>
          <w:color w:val="002060"/>
          <w:sz w:val="24"/>
        </w:rPr>
        <w:t xml:space="preserve"> </w:t>
      </w:r>
    </w:p>
    <w:p w14:paraId="4D48C726" w14:textId="18957698" w:rsidR="0091145E" w:rsidRPr="001C4086" w:rsidRDefault="0091145E" w:rsidP="00DB0390">
      <w:pPr>
        <w:pStyle w:val="Heading2"/>
        <w:numPr>
          <w:ilvl w:val="0"/>
          <w:numId w:val="0"/>
        </w:numPr>
        <w:spacing w:before="0" w:after="0" w:line="276" w:lineRule="auto"/>
        <w:jc w:val="both"/>
        <w:rPr>
          <w:rFonts w:ascii="Times New Roman" w:hAnsi="Times New Roman" w:cs="Times New Roman"/>
          <w:b/>
          <w:color w:val="002060"/>
          <w:sz w:val="24"/>
          <w:szCs w:val="24"/>
          <w:lang w:val="en-GB"/>
        </w:rPr>
      </w:pPr>
      <w:bookmarkStart w:id="2" w:name="_Hlk151370043"/>
      <w:bookmarkEnd w:id="1"/>
      <w:r w:rsidRPr="001C4086">
        <w:rPr>
          <w:rFonts w:ascii="Times New Roman" w:hAnsi="Times New Roman" w:cs="Times New Roman"/>
          <w:color w:val="002060"/>
          <w:sz w:val="24"/>
          <w:szCs w:val="24"/>
          <w:u w:val="none"/>
        </w:rPr>
        <w:t>Assignment Title: “</w:t>
      </w:r>
      <w:bookmarkEnd w:id="2"/>
      <w:r w:rsidR="00C45CCD" w:rsidRPr="001C4086">
        <w:rPr>
          <w:rFonts w:ascii="Times New Roman" w:hAnsi="Times New Roman" w:cs="Times New Roman"/>
          <w:b/>
          <w:color w:val="002060"/>
          <w:sz w:val="24"/>
          <w:szCs w:val="24"/>
          <w:u w:val="none"/>
        </w:rPr>
        <w:t>T</w:t>
      </w:r>
      <w:r w:rsidR="00DB0390">
        <w:rPr>
          <w:rFonts w:ascii="Times New Roman" w:hAnsi="Times New Roman" w:cs="Times New Roman"/>
          <w:b/>
          <w:color w:val="002060"/>
          <w:sz w:val="24"/>
          <w:szCs w:val="24"/>
          <w:u w:val="none"/>
        </w:rPr>
        <w:t xml:space="preserve">echnical </w:t>
      </w:r>
      <w:r w:rsidR="00DB0390" w:rsidRPr="001C4086">
        <w:rPr>
          <w:rFonts w:ascii="Times New Roman" w:hAnsi="Times New Roman" w:cs="Times New Roman"/>
          <w:b/>
          <w:color w:val="002060"/>
          <w:sz w:val="24"/>
          <w:szCs w:val="24"/>
          <w:u w:val="none"/>
        </w:rPr>
        <w:t>A</w:t>
      </w:r>
      <w:r w:rsidR="00DB0390">
        <w:rPr>
          <w:rFonts w:ascii="Times New Roman" w:hAnsi="Times New Roman" w:cs="Times New Roman"/>
          <w:b/>
          <w:color w:val="002060"/>
          <w:sz w:val="24"/>
          <w:szCs w:val="24"/>
          <w:u w:val="none"/>
        </w:rPr>
        <w:t>ssistance</w:t>
      </w:r>
      <w:r w:rsidR="00C45CCD" w:rsidRPr="001C4086">
        <w:rPr>
          <w:rFonts w:ascii="Times New Roman" w:hAnsi="Times New Roman" w:cs="Times New Roman"/>
          <w:b/>
          <w:color w:val="002060"/>
          <w:sz w:val="24"/>
          <w:szCs w:val="24"/>
          <w:u w:val="none"/>
        </w:rPr>
        <w:t xml:space="preserve"> for Strengthening of the MARD's capacity (including policy analysis and evaluation system)</w:t>
      </w:r>
      <w:r w:rsidR="00433754" w:rsidRPr="00BA3168">
        <w:rPr>
          <w:rFonts w:ascii="Times New Roman" w:hAnsi="Times New Roman" w:cs="Times New Roman"/>
          <w:color w:val="002060"/>
          <w:sz w:val="24"/>
          <w:szCs w:val="24"/>
          <w:u w:val="none"/>
        </w:rPr>
        <w:t>”</w:t>
      </w:r>
    </w:p>
    <w:p w14:paraId="2AD9C356" w14:textId="44BE016B" w:rsidR="00BC2C95" w:rsidRPr="001C4086" w:rsidRDefault="0091145E" w:rsidP="001C4086">
      <w:pPr>
        <w:spacing w:line="276" w:lineRule="auto"/>
        <w:rPr>
          <w:rFonts w:ascii="Times New Roman" w:hAnsi="Times New Roman"/>
          <w:color w:val="002060"/>
          <w:spacing w:val="-2"/>
          <w:sz w:val="24"/>
        </w:rPr>
      </w:pPr>
      <w:r w:rsidRPr="001C4086">
        <w:rPr>
          <w:rFonts w:ascii="Times New Roman" w:hAnsi="Times New Roman"/>
          <w:b w:val="0"/>
          <w:color w:val="002060"/>
          <w:sz w:val="24"/>
          <w:lang w:val="en-GB"/>
        </w:rPr>
        <w:t>Reference:</w:t>
      </w:r>
      <w:r w:rsidRPr="001C4086">
        <w:rPr>
          <w:rFonts w:ascii="Times New Roman" w:hAnsi="Times New Roman"/>
          <w:color w:val="002060"/>
          <w:sz w:val="24"/>
          <w:lang w:val="en-GB"/>
        </w:rPr>
        <w:t xml:space="preserve"> </w:t>
      </w:r>
      <w:r w:rsidR="001C4086" w:rsidRPr="001C4086">
        <w:rPr>
          <w:rFonts w:ascii="Times New Roman" w:hAnsi="Times New Roman"/>
          <w:color w:val="002060"/>
          <w:sz w:val="24"/>
        </w:rPr>
        <w:t>AL-MARD-521807-CS-QCBS</w:t>
      </w:r>
    </w:p>
    <w:p w14:paraId="75401790" w14:textId="77777777" w:rsidR="00C45CCD" w:rsidRPr="001C4086" w:rsidRDefault="00C45CCD" w:rsidP="00C45CCD">
      <w:pPr>
        <w:suppressAutoHyphens/>
        <w:spacing w:after="240" w:line="276" w:lineRule="auto"/>
        <w:jc w:val="both"/>
        <w:rPr>
          <w:rFonts w:ascii="Times New Roman" w:hAnsi="Times New Roman"/>
          <w:color w:val="002060"/>
          <w:spacing w:val="-2"/>
          <w:sz w:val="24"/>
          <w:lang w:val="en-US"/>
        </w:rPr>
      </w:pPr>
    </w:p>
    <w:p w14:paraId="1E15D041" w14:textId="77777777" w:rsidR="00DF74D4" w:rsidRPr="00625BC2" w:rsidRDefault="00DF74D4" w:rsidP="00077B09">
      <w:pPr>
        <w:pStyle w:val="StylePADEdoardo"/>
        <w:numPr>
          <w:ilvl w:val="0"/>
          <w:numId w:val="0"/>
        </w:numPr>
        <w:spacing w:line="276" w:lineRule="auto"/>
        <w:rPr>
          <w:rFonts w:ascii="Times New Roman" w:eastAsia="Times New Roman" w:hAnsi="Times New Roman" w:cs="Times New Roman"/>
          <w:bCs w:val="0"/>
          <w:color w:val="002060"/>
          <w:sz w:val="24"/>
          <w:szCs w:val="24"/>
          <w:lang w:val="en-US"/>
        </w:rPr>
      </w:pPr>
      <w:bookmarkStart w:id="3" w:name="_Hlk138418764"/>
      <w:bookmarkStart w:id="4" w:name="_Hlk138331977"/>
      <w:r w:rsidRPr="00625BC2">
        <w:rPr>
          <w:rFonts w:ascii="Times New Roman" w:eastAsia="Times New Roman" w:hAnsi="Times New Roman" w:cs="Times New Roman"/>
          <w:b w:val="0"/>
          <w:bCs w:val="0"/>
          <w:color w:val="002060"/>
          <w:sz w:val="24"/>
          <w:szCs w:val="24"/>
          <w:lang w:val="en-US"/>
        </w:rPr>
        <w:t>The World Bank is assisting the Government of Albania (</w:t>
      </w:r>
      <w:proofErr w:type="spellStart"/>
      <w:r w:rsidRPr="00625BC2">
        <w:rPr>
          <w:rFonts w:ascii="Times New Roman" w:eastAsia="Times New Roman" w:hAnsi="Times New Roman" w:cs="Times New Roman"/>
          <w:b w:val="0"/>
          <w:bCs w:val="0"/>
          <w:color w:val="002060"/>
          <w:sz w:val="24"/>
          <w:szCs w:val="24"/>
          <w:lang w:val="en-US"/>
        </w:rPr>
        <w:t>GoA</w:t>
      </w:r>
      <w:proofErr w:type="spellEnd"/>
      <w:r w:rsidRPr="00625BC2">
        <w:rPr>
          <w:rFonts w:ascii="Times New Roman" w:eastAsia="Times New Roman" w:hAnsi="Times New Roman" w:cs="Times New Roman"/>
          <w:b w:val="0"/>
          <w:bCs w:val="0"/>
          <w:color w:val="002060"/>
          <w:sz w:val="24"/>
          <w:szCs w:val="24"/>
          <w:lang w:val="en-US"/>
        </w:rPr>
        <w:t>) with the financing of the Climate Resilience and Agriculture Development project (CRAD).</w:t>
      </w:r>
      <w:r w:rsidRPr="00625BC2">
        <w:rPr>
          <w:rFonts w:ascii="Times New Roman" w:hAnsi="Times New Roman" w:cs="Times New Roman"/>
          <w:color w:val="002060"/>
          <w:sz w:val="24"/>
          <w:szCs w:val="24"/>
        </w:rPr>
        <w:t xml:space="preserve"> </w:t>
      </w:r>
      <w:r w:rsidRPr="00625BC2">
        <w:rPr>
          <w:rFonts w:ascii="Times New Roman" w:eastAsia="Times New Roman" w:hAnsi="Times New Roman" w:cs="Times New Roman"/>
          <w:b w:val="0"/>
          <w:bCs w:val="0"/>
          <w:color w:val="002060"/>
          <w:sz w:val="24"/>
          <w:szCs w:val="24"/>
          <w:lang w:val="en-US"/>
        </w:rPr>
        <w:t>This project aims to increase competitiveness and climate resilience of priority agri-food value chains</w:t>
      </w:r>
      <w:r w:rsidR="00E20306" w:rsidRPr="00625BC2">
        <w:rPr>
          <w:rFonts w:ascii="Times New Roman" w:eastAsia="Times New Roman" w:hAnsi="Times New Roman" w:cs="Times New Roman"/>
          <w:b w:val="0"/>
          <w:bCs w:val="0"/>
          <w:color w:val="002060"/>
          <w:sz w:val="24"/>
          <w:szCs w:val="24"/>
          <w:lang w:val="en-US"/>
        </w:rPr>
        <w:t xml:space="preserve"> focusing on </w:t>
      </w:r>
      <w:bookmarkEnd w:id="3"/>
      <w:r w:rsidRPr="00625BC2">
        <w:rPr>
          <w:rFonts w:ascii="Times New Roman" w:eastAsia="Times New Roman" w:hAnsi="Times New Roman" w:cs="Times New Roman"/>
          <w:b w:val="0"/>
          <w:bCs w:val="0"/>
          <w:color w:val="002060"/>
          <w:sz w:val="24"/>
          <w:szCs w:val="24"/>
          <w:lang w:val="en-US"/>
        </w:rPr>
        <w:t>(</w:t>
      </w:r>
      <w:proofErr w:type="spellStart"/>
      <w:r w:rsidRPr="00625BC2">
        <w:rPr>
          <w:rFonts w:ascii="Times New Roman" w:eastAsia="Times New Roman" w:hAnsi="Times New Roman" w:cs="Times New Roman"/>
          <w:b w:val="0"/>
          <w:bCs w:val="0"/>
          <w:color w:val="002060"/>
          <w:sz w:val="24"/>
          <w:szCs w:val="24"/>
          <w:lang w:val="en-US"/>
        </w:rPr>
        <w:t>i</w:t>
      </w:r>
      <w:proofErr w:type="spellEnd"/>
      <w:r w:rsidRPr="00625BC2">
        <w:rPr>
          <w:rFonts w:ascii="Times New Roman" w:eastAsia="Times New Roman" w:hAnsi="Times New Roman" w:cs="Times New Roman"/>
          <w:b w:val="0"/>
          <w:bCs w:val="0"/>
          <w:color w:val="002060"/>
          <w:sz w:val="24"/>
          <w:szCs w:val="24"/>
          <w:lang w:val="en-US"/>
        </w:rPr>
        <w:t xml:space="preserve">) </w:t>
      </w:r>
      <w:r w:rsidR="003F2BAB" w:rsidRPr="00625BC2">
        <w:rPr>
          <w:rFonts w:ascii="Times New Roman" w:eastAsia="Times New Roman" w:hAnsi="Times New Roman" w:cs="Times New Roman"/>
          <w:b w:val="0"/>
          <w:bCs w:val="0"/>
          <w:color w:val="002060"/>
          <w:sz w:val="24"/>
          <w:szCs w:val="24"/>
          <w:lang w:val="en-US"/>
        </w:rPr>
        <w:t xml:space="preserve">promoting climate smart and resilient value chains,  </w:t>
      </w:r>
      <w:r w:rsidRPr="00625BC2">
        <w:rPr>
          <w:rFonts w:ascii="Times New Roman" w:eastAsia="Times New Roman" w:hAnsi="Times New Roman" w:cs="Times New Roman"/>
          <w:b w:val="0"/>
          <w:bCs w:val="0"/>
          <w:color w:val="002060"/>
          <w:sz w:val="24"/>
          <w:szCs w:val="24"/>
          <w:lang w:val="en-US"/>
        </w:rPr>
        <w:t>(ii)</w:t>
      </w:r>
      <w:r w:rsidR="003F2BAB" w:rsidRPr="00625BC2">
        <w:rPr>
          <w:rFonts w:ascii="Times New Roman" w:eastAsiaTheme="minorEastAsia" w:hAnsi="Times New Roman" w:cs="Times New Roman"/>
          <w:b w:val="0"/>
          <w:bCs w:val="0"/>
          <w:color w:val="002060"/>
          <w:sz w:val="24"/>
          <w:szCs w:val="24"/>
          <w:lang w:val="en-US"/>
        </w:rPr>
        <w:t xml:space="preserve"> </w:t>
      </w:r>
      <w:r w:rsidR="003F2BAB" w:rsidRPr="00625BC2">
        <w:rPr>
          <w:rFonts w:ascii="Times New Roman" w:eastAsia="Times New Roman" w:hAnsi="Times New Roman" w:cs="Times New Roman"/>
          <w:b w:val="0"/>
          <w:bCs w:val="0"/>
          <w:color w:val="002060"/>
          <w:sz w:val="24"/>
          <w:szCs w:val="24"/>
          <w:lang w:val="en-US"/>
        </w:rPr>
        <w:t>promoting typical products and value addition</w:t>
      </w:r>
      <w:r w:rsidRPr="00625BC2">
        <w:rPr>
          <w:rFonts w:ascii="Times New Roman" w:eastAsia="Times New Roman" w:hAnsi="Times New Roman" w:cs="Times New Roman"/>
          <w:b w:val="0"/>
          <w:bCs w:val="0"/>
          <w:color w:val="002060"/>
          <w:sz w:val="24"/>
          <w:szCs w:val="24"/>
          <w:lang w:val="en-US"/>
        </w:rPr>
        <w:t xml:space="preserve"> (iii) </w:t>
      </w:r>
      <w:r w:rsidR="003F2BAB" w:rsidRPr="00625BC2">
        <w:rPr>
          <w:rFonts w:ascii="Times New Roman" w:eastAsia="Times New Roman" w:hAnsi="Times New Roman" w:cs="Times New Roman"/>
          <w:b w:val="0"/>
          <w:bCs w:val="0"/>
          <w:color w:val="002060"/>
          <w:sz w:val="24"/>
          <w:szCs w:val="24"/>
          <w:lang w:val="en-US"/>
        </w:rPr>
        <w:t>developing Climate Smart Agriculture (CSA) IT Platform (iv) modernizing selected irrigation and drainage schemes for high-value agricultural production</w:t>
      </w:r>
      <w:r w:rsidR="003F2BAB" w:rsidRPr="00625BC2" w:rsidDel="003F2BAB">
        <w:rPr>
          <w:rFonts w:ascii="Times New Roman" w:eastAsia="Times New Roman" w:hAnsi="Times New Roman" w:cs="Times New Roman"/>
          <w:b w:val="0"/>
          <w:bCs w:val="0"/>
          <w:color w:val="002060"/>
          <w:sz w:val="24"/>
          <w:szCs w:val="24"/>
          <w:lang w:val="en-US"/>
        </w:rPr>
        <w:t xml:space="preserve"> </w:t>
      </w:r>
      <w:r w:rsidRPr="00625BC2">
        <w:rPr>
          <w:rFonts w:ascii="Times New Roman" w:eastAsia="Times New Roman" w:hAnsi="Times New Roman" w:cs="Times New Roman"/>
          <w:b w:val="0"/>
          <w:bCs w:val="0"/>
          <w:color w:val="002060"/>
          <w:sz w:val="24"/>
          <w:szCs w:val="24"/>
          <w:lang w:val="en-US"/>
        </w:rPr>
        <w:t>(v)</w:t>
      </w:r>
      <w:r w:rsidR="003F2BAB" w:rsidRPr="00625BC2">
        <w:rPr>
          <w:rFonts w:ascii="Times New Roman" w:eastAsia="Times New Roman" w:hAnsi="Times New Roman" w:cs="Times New Roman"/>
          <w:b w:val="0"/>
          <w:bCs w:val="0"/>
          <w:color w:val="002060"/>
          <w:sz w:val="24"/>
          <w:szCs w:val="24"/>
          <w:lang w:val="en-US"/>
        </w:rPr>
        <w:t xml:space="preserve"> enhancing compliance with food safety and quality standards</w:t>
      </w:r>
      <w:r w:rsidRPr="00625BC2">
        <w:rPr>
          <w:rFonts w:ascii="Times New Roman" w:eastAsia="Times New Roman" w:hAnsi="Times New Roman" w:cs="Times New Roman"/>
          <w:b w:val="0"/>
          <w:bCs w:val="0"/>
          <w:color w:val="002060"/>
          <w:sz w:val="24"/>
          <w:szCs w:val="24"/>
          <w:lang w:val="en-US"/>
        </w:rPr>
        <w:t xml:space="preserve"> </w:t>
      </w:r>
      <w:r w:rsidR="003F2BAB" w:rsidRPr="00625BC2">
        <w:rPr>
          <w:rFonts w:ascii="Times New Roman" w:eastAsia="Times New Roman" w:hAnsi="Times New Roman" w:cs="Times New Roman"/>
          <w:b w:val="0"/>
          <w:bCs w:val="0"/>
          <w:color w:val="002060"/>
          <w:sz w:val="24"/>
          <w:szCs w:val="24"/>
          <w:lang w:val="en-US"/>
        </w:rPr>
        <w:t xml:space="preserve">and (vi) </w:t>
      </w:r>
      <w:bookmarkStart w:id="5" w:name="_Hlk126946916"/>
      <w:r w:rsidR="003F2BAB" w:rsidRPr="00625BC2">
        <w:rPr>
          <w:rFonts w:ascii="Times New Roman" w:eastAsia="Times New Roman" w:hAnsi="Times New Roman" w:cs="Times New Roman"/>
          <w:b w:val="0"/>
          <w:bCs w:val="0"/>
          <w:color w:val="002060"/>
          <w:sz w:val="24"/>
          <w:szCs w:val="24"/>
          <w:lang w:val="en-US"/>
        </w:rPr>
        <w:t>strengthening</w:t>
      </w:r>
      <w:bookmarkEnd w:id="5"/>
      <w:r w:rsidR="003F2BAB" w:rsidRPr="00625BC2">
        <w:rPr>
          <w:rFonts w:ascii="Times New Roman" w:eastAsia="Times New Roman" w:hAnsi="Times New Roman" w:cs="Times New Roman"/>
          <w:b w:val="0"/>
          <w:bCs w:val="0"/>
          <w:color w:val="002060"/>
          <w:sz w:val="24"/>
          <w:szCs w:val="24"/>
          <w:lang w:val="en-US"/>
        </w:rPr>
        <w:t xml:space="preserve"> </w:t>
      </w:r>
      <w:r w:rsidRPr="00625BC2">
        <w:rPr>
          <w:rFonts w:ascii="Times New Roman" w:eastAsia="Times New Roman" w:hAnsi="Times New Roman" w:cs="Times New Roman"/>
          <w:b w:val="0"/>
          <w:bCs w:val="0"/>
          <w:color w:val="002060"/>
          <w:sz w:val="24"/>
          <w:szCs w:val="24"/>
          <w:lang w:val="en-US"/>
        </w:rPr>
        <w:t>evidence-based decision making for resilience and sustainable agri-food systems.</w:t>
      </w:r>
      <w:r w:rsidRPr="00625BC2">
        <w:rPr>
          <w:rFonts w:ascii="Times New Roman" w:eastAsia="Times New Roman" w:hAnsi="Times New Roman" w:cs="Times New Roman"/>
          <w:bCs w:val="0"/>
          <w:color w:val="002060"/>
          <w:sz w:val="24"/>
          <w:szCs w:val="24"/>
          <w:lang w:val="en-US"/>
        </w:rPr>
        <w:t xml:space="preserve"> </w:t>
      </w:r>
    </w:p>
    <w:p w14:paraId="37B59A79" w14:textId="4CE99404" w:rsidR="002B2F2C" w:rsidRPr="00625BC2" w:rsidRDefault="00E20306" w:rsidP="00077B09">
      <w:pPr>
        <w:spacing w:line="276" w:lineRule="auto"/>
        <w:jc w:val="both"/>
        <w:rPr>
          <w:rFonts w:ascii="Times New Roman" w:hAnsi="Times New Roman"/>
          <w:b w:val="0"/>
          <w:bCs w:val="0"/>
          <w:color w:val="002060"/>
          <w:sz w:val="24"/>
        </w:rPr>
      </w:pPr>
      <w:r w:rsidRPr="00625BC2">
        <w:rPr>
          <w:rFonts w:ascii="Times New Roman" w:hAnsi="Times New Roman"/>
          <w:b w:val="0"/>
          <w:bCs w:val="0"/>
          <w:color w:val="002060"/>
          <w:sz w:val="24"/>
          <w:lang w:val="en-US"/>
        </w:rPr>
        <w:t xml:space="preserve">The services required to be </w:t>
      </w:r>
      <w:r w:rsidR="003F2BAB" w:rsidRPr="00625BC2">
        <w:rPr>
          <w:rFonts w:ascii="Times New Roman" w:hAnsi="Times New Roman"/>
          <w:b w:val="0"/>
          <w:bCs w:val="0"/>
          <w:color w:val="002060"/>
          <w:sz w:val="24"/>
          <w:lang w:val="en-US"/>
        </w:rPr>
        <w:t>contracted</w:t>
      </w:r>
      <w:r w:rsidRPr="00625BC2">
        <w:rPr>
          <w:rFonts w:ascii="Times New Roman" w:hAnsi="Times New Roman"/>
          <w:b w:val="0"/>
          <w:bCs w:val="0"/>
          <w:color w:val="002060"/>
          <w:sz w:val="24"/>
          <w:lang w:val="en-US"/>
        </w:rPr>
        <w:t xml:space="preserve"> aim</w:t>
      </w:r>
      <w:bookmarkEnd w:id="4"/>
      <w:r w:rsidRPr="00625BC2">
        <w:rPr>
          <w:rFonts w:ascii="Times New Roman" w:hAnsi="Times New Roman"/>
          <w:b w:val="0"/>
          <w:bCs w:val="0"/>
          <w:color w:val="002060"/>
          <w:sz w:val="24"/>
          <w:lang w:val="en-US"/>
        </w:rPr>
        <w:t xml:space="preserve"> </w:t>
      </w:r>
      <w:r w:rsidR="00DF74D4" w:rsidRPr="00625BC2">
        <w:rPr>
          <w:rFonts w:ascii="Times New Roman" w:hAnsi="Times New Roman"/>
          <w:b w:val="0"/>
          <w:bCs w:val="0"/>
          <w:color w:val="002060"/>
          <w:sz w:val="24"/>
          <w:lang w:val="en-US"/>
        </w:rPr>
        <w:t xml:space="preserve">to support </w:t>
      </w:r>
      <w:r w:rsidR="0018438B" w:rsidRPr="00625BC2">
        <w:rPr>
          <w:rFonts w:ascii="Times New Roman" w:hAnsi="Times New Roman"/>
          <w:b w:val="0"/>
          <w:bCs w:val="0"/>
          <w:color w:val="002060"/>
          <w:sz w:val="24"/>
          <w:lang w:val="en-US"/>
        </w:rPr>
        <w:t>the Ministry of Agriculture and Rural Development (</w:t>
      </w:r>
      <w:r w:rsidR="00DF74D4" w:rsidRPr="00625BC2">
        <w:rPr>
          <w:rFonts w:ascii="Times New Roman" w:hAnsi="Times New Roman"/>
          <w:b w:val="0"/>
          <w:bCs w:val="0"/>
          <w:color w:val="002060"/>
          <w:sz w:val="24"/>
          <w:lang w:val="en-US"/>
        </w:rPr>
        <w:t>MARD</w:t>
      </w:r>
      <w:r w:rsidR="0018438B" w:rsidRPr="00625BC2">
        <w:rPr>
          <w:rFonts w:ascii="Times New Roman" w:hAnsi="Times New Roman"/>
          <w:b w:val="0"/>
          <w:bCs w:val="0"/>
          <w:color w:val="002060"/>
          <w:sz w:val="24"/>
          <w:lang w:val="en-US"/>
        </w:rPr>
        <w:t>)</w:t>
      </w:r>
      <w:r w:rsidR="00DF74D4" w:rsidRPr="00625BC2">
        <w:rPr>
          <w:rFonts w:ascii="Times New Roman" w:hAnsi="Times New Roman"/>
          <w:b w:val="0"/>
          <w:bCs w:val="0"/>
          <w:color w:val="002060"/>
          <w:sz w:val="24"/>
          <w:lang w:val="en-US"/>
        </w:rPr>
        <w:t xml:space="preserve"> in ensuring successful implementation of the </w:t>
      </w:r>
      <w:r w:rsidR="002B2F2C" w:rsidRPr="00625BC2">
        <w:rPr>
          <w:rFonts w:ascii="Times New Roman" w:hAnsi="Times New Roman"/>
          <w:b w:val="0"/>
          <w:bCs w:val="0"/>
          <w:color w:val="002060"/>
          <w:sz w:val="24"/>
          <w:lang w:val="en-US"/>
        </w:rPr>
        <w:t xml:space="preserve">contract </w:t>
      </w:r>
      <w:r w:rsidR="002B2F2C" w:rsidRPr="00625BC2">
        <w:rPr>
          <w:rFonts w:ascii="Times New Roman" w:hAnsi="Times New Roman"/>
          <w:b w:val="0"/>
          <w:bCs w:val="0"/>
          <w:color w:val="002060"/>
          <w:sz w:val="24"/>
        </w:rPr>
        <w:t>“</w:t>
      </w:r>
      <w:r w:rsidR="00DB0390" w:rsidRPr="00DB0390">
        <w:rPr>
          <w:rFonts w:ascii="Times New Roman" w:hAnsi="Times New Roman"/>
          <w:b w:val="0"/>
          <w:bCs w:val="0"/>
          <w:color w:val="002060"/>
          <w:sz w:val="24"/>
        </w:rPr>
        <w:t>Technical Assistance for Strengthening of the MARD's capacity (including policy analysis and evaluation system)</w:t>
      </w:r>
      <w:r w:rsidR="002B2F2C" w:rsidRPr="00625BC2">
        <w:rPr>
          <w:rFonts w:ascii="Times New Roman" w:hAnsi="Times New Roman"/>
          <w:b w:val="0"/>
          <w:bCs w:val="0"/>
          <w:color w:val="002060"/>
          <w:sz w:val="24"/>
        </w:rPr>
        <w:t>”.</w:t>
      </w:r>
    </w:p>
    <w:p w14:paraId="56432C64" w14:textId="6F478814" w:rsidR="0059325C" w:rsidRPr="00485B96" w:rsidRDefault="0059325C" w:rsidP="0059325C">
      <w:pPr>
        <w:tabs>
          <w:tab w:val="left" w:pos="0"/>
          <w:tab w:val="num" w:pos="900"/>
        </w:tabs>
        <w:spacing w:before="240"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rPr>
        <w:t xml:space="preserve">The MoARD seeks the Consulting Services of a qualified consulting firm/consortium with the objective to assist MoARD with the </w:t>
      </w:r>
      <w:r w:rsidR="00485B96" w:rsidRPr="00485B96">
        <w:rPr>
          <w:rFonts w:ascii="Times New Roman" w:hAnsi="Times New Roman"/>
          <w:b w:val="0"/>
          <w:bCs w:val="0"/>
          <w:color w:val="002060"/>
          <w:sz w:val="24"/>
        </w:rPr>
        <w:t>T</w:t>
      </w:r>
      <w:r w:rsidR="00485B96">
        <w:rPr>
          <w:rFonts w:ascii="Times New Roman" w:hAnsi="Times New Roman"/>
          <w:b w:val="0"/>
          <w:color w:val="002060"/>
          <w:sz w:val="24"/>
        </w:rPr>
        <w:t xml:space="preserve">echnical </w:t>
      </w:r>
      <w:r w:rsidR="00485B96" w:rsidRPr="001C4086">
        <w:rPr>
          <w:rFonts w:ascii="Times New Roman" w:hAnsi="Times New Roman"/>
          <w:b w:val="0"/>
          <w:color w:val="002060"/>
          <w:sz w:val="24"/>
        </w:rPr>
        <w:t>A</w:t>
      </w:r>
      <w:r w:rsidR="00485B96">
        <w:rPr>
          <w:rFonts w:ascii="Times New Roman" w:hAnsi="Times New Roman"/>
          <w:b w:val="0"/>
          <w:color w:val="002060"/>
          <w:sz w:val="24"/>
        </w:rPr>
        <w:t>ssistance</w:t>
      </w:r>
      <w:r w:rsidR="00485B96" w:rsidRPr="001C4086">
        <w:rPr>
          <w:rFonts w:ascii="Times New Roman" w:hAnsi="Times New Roman"/>
          <w:color w:val="002060"/>
          <w:sz w:val="24"/>
        </w:rPr>
        <w:t xml:space="preserve"> </w:t>
      </w:r>
      <w:r w:rsidR="00485B96" w:rsidRPr="00485B96">
        <w:rPr>
          <w:rFonts w:ascii="Times New Roman" w:hAnsi="Times New Roman"/>
          <w:b w:val="0"/>
          <w:bCs w:val="0"/>
          <w:color w:val="002060"/>
          <w:sz w:val="24"/>
        </w:rPr>
        <w:t>for Strengthening of the MARD's capacity (including policy analysis and evaluation system)</w:t>
      </w:r>
      <w:r w:rsidRPr="00485B96">
        <w:rPr>
          <w:rFonts w:ascii="Times New Roman" w:hAnsi="Times New Roman"/>
          <w:b w:val="0"/>
          <w:bCs w:val="0"/>
          <w:color w:val="002060"/>
          <w:sz w:val="24"/>
          <w:lang w:val="en-GB"/>
        </w:rPr>
        <w:t xml:space="preserve">. </w:t>
      </w:r>
    </w:p>
    <w:p w14:paraId="3162ACF9" w14:textId="6A0AE6D8" w:rsidR="00D468C7" w:rsidRPr="00625BC2" w:rsidRDefault="0059325C" w:rsidP="0059325C">
      <w:pPr>
        <w:spacing w:before="240" w:line="276" w:lineRule="auto"/>
        <w:jc w:val="both"/>
        <w:rPr>
          <w:rFonts w:ascii="Times New Roman" w:hAnsi="Times New Roman"/>
          <w:b w:val="0"/>
          <w:bCs w:val="0"/>
          <w:color w:val="002060"/>
          <w:sz w:val="24"/>
          <w:lang w:val="en-GB"/>
        </w:rPr>
      </w:pPr>
      <w:r w:rsidRPr="00625BC2">
        <w:rPr>
          <w:rFonts w:ascii="Times New Roman" w:hAnsi="Times New Roman"/>
          <w:b w:val="0"/>
          <w:color w:val="002060"/>
          <w:sz w:val="24"/>
        </w:rPr>
        <w:t>The Consultant will be responsible for providing qualified professional and supporting staff and all necessary services required for the efficient cost effective and timely execution of the Consultancy Services</w:t>
      </w:r>
      <w:r w:rsidR="00D468C7" w:rsidRPr="00625BC2">
        <w:rPr>
          <w:rFonts w:ascii="Times New Roman" w:hAnsi="Times New Roman"/>
          <w:b w:val="0"/>
          <w:bCs w:val="0"/>
          <w:color w:val="002060"/>
          <w:sz w:val="24"/>
        </w:rPr>
        <w:t xml:space="preserve">. </w:t>
      </w:r>
      <w:r w:rsidR="00BC2684" w:rsidRPr="00625BC2">
        <w:rPr>
          <w:rFonts w:ascii="Times New Roman" w:hAnsi="Times New Roman"/>
          <w:b w:val="0"/>
          <w:bCs w:val="0"/>
          <w:color w:val="002060"/>
          <w:sz w:val="24"/>
        </w:rPr>
        <w:t xml:space="preserve"> </w:t>
      </w:r>
    </w:p>
    <w:p w14:paraId="6402C1FF" w14:textId="7F0A2E17" w:rsidR="00DB6BE2" w:rsidRPr="00625BC2" w:rsidRDefault="00DB6BE2" w:rsidP="00DB6BE2">
      <w:pPr>
        <w:pStyle w:val="Heading1"/>
        <w:numPr>
          <w:ilvl w:val="0"/>
          <w:numId w:val="0"/>
        </w:numPr>
        <w:spacing w:after="240"/>
        <w:rPr>
          <w:rFonts w:ascii="Times New Roman" w:hAnsi="Times New Roman" w:cs="Times New Roman"/>
          <w:noProof/>
          <w:color w:val="002060"/>
          <w:szCs w:val="24"/>
        </w:rPr>
      </w:pPr>
      <w:r w:rsidRPr="00625BC2">
        <w:rPr>
          <w:rFonts w:ascii="Times New Roman" w:hAnsi="Times New Roman" w:cs="Times New Roman"/>
          <w:noProof/>
          <w:color w:val="002060"/>
          <w:szCs w:val="24"/>
        </w:rPr>
        <w:t>Scope of Work</w:t>
      </w:r>
    </w:p>
    <w:p w14:paraId="26830550" w14:textId="77777777" w:rsidR="000D3307" w:rsidRPr="000D3307" w:rsidRDefault="000D3307" w:rsidP="000D3307">
      <w:pPr>
        <w:spacing w:line="276" w:lineRule="auto"/>
        <w:jc w:val="both"/>
        <w:rPr>
          <w:rFonts w:ascii="Times New Roman" w:hAnsi="Times New Roman"/>
          <w:b w:val="0"/>
          <w:bCs w:val="0"/>
          <w:color w:val="002060"/>
          <w:sz w:val="24"/>
        </w:rPr>
      </w:pPr>
      <w:r w:rsidRPr="000D3307">
        <w:rPr>
          <w:rFonts w:ascii="Times New Roman" w:hAnsi="Times New Roman"/>
          <w:b w:val="0"/>
          <w:bCs w:val="0"/>
          <w:color w:val="002060"/>
          <w:sz w:val="24"/>
        </w:rPr>
        <w:t>The Climate Resilience and Agriculture Development (CRAD) Project foresees the implementation of an integrated, on-premises Business Intelligence (BI) and Data Warehouse (DWH) platform to support evidence-based decision-making in the agricultural and rural development sector. The platform will centralize the collection, integration, analysis and visualization of agricultural, environmental, financial and rural development data, serving a wide range of users including decision-makers, analysts, program managers, field officers and external stakeholders such as EU institutions and development partners.</w:t>
      </w:r>
    </w:p>
    <w:p w14:paraId="0B6FA86E" w14:textId="77777777" w:rsidR="000D3307" w:rsidRPr="000D3307" w:rsidRDefault="000D3307" w:rsidP="000D3307">
      <w:pPr>
        <w:spacing w:line="276" w:lineRule="auto"/>
        <w:jc w:val="both"/>
        <w:rPr>
          <w:rFonts w:ascii="Times New Roman" w:hAnsi="Times New Roman"/>
          <w:b w:val="0"/>
          <w:bCs w:val="0"/>
          <w:color w:val="002060"/>
          <w:sz w:val="24"/>
        </w:rPr>
      </w:pPr>
      <w:r w:rsidRPr="000D3307">
        <w:rPr>
          <w:rFonts w:ascii="Times New Roman" w:hAnsi="Times New Roman"/>
          <w:b w:val="0"/>
          <w:bCs w:val="0"/>
          <w:color w:val="002060"/>
          <w:sz w:val="24"/>
        </w:rPr>
        <w:t>The BI platform is conceived as a multi-layer, Microsoft-based architecture comprising:</w:t>
      </w:r>
    </w:p>
    <w:p w14:paraId="559D39AF" w14:textId="77777777" w:rsidR="000D3307" w:rsidRPr="000D3307" w:rsidRDefault="000D3307" w:rsidP="000D3307">
      <w:pPr>
        <w:numPr>
          <w:ilvl w:val="0"/>
          <w:numId w:val="18"/>
        </w:numPr>
        <w:spacing w:line="276" w:lineRule="auto"/>
        <w:jc w:val="both"/>
        <w:rPr>
          <w:rFonts w:ascii="Times New Roman" w:hAnsi="Times New Roman"/>
          <w:b w:val="0"/>
          <w:bCs w:val="0"/>
          <w:color w:val="002060"/>
          <w:sz w:val="24"/>
        </w:rPr>
      </w:pPr>
      <w:r w:rsidRPr="000D3307">
        <w:rPr>
          <w:rFonts w:ascii="Times New Roman" w:hAnsi="Times New Roman"/>
          <w:b w:val="0"/>
          <w:bCs w:val="0"/>
          <w:color w:val="002060"/>
          <w:sz w:val="24"/>
        </w:rPr>
        <w:t>multiple source systems (operational databases, files, external datasets and APIs)</w:t>
      </w:r>
    </w:p>
    <w:p w14:paraId="0BBAD17C" w14:textId="77777777" w:rsidR="000D3307" w:rsidRPr="000D3307" w:rsidRDefault="000D3307" w:rsidP="000D3307">
      <w:pPr>
        <w:numPr>
          <w:ilvl w:val="0"/>
          <w:numId w:val="18"/>
        </w:numPr>
        <w:spacing w:line="276" w:lineRule="auto"/>
        <w:jc w:val="both"/>
        <w:rPr>
          <w:rFonts w:ascii="Times New Roman" w:hAnsi="Times New Roman"/>
          <w:b w:val="0"/>
          <w:bCs w:val="0"/>
          <w:color w:val="002060"/>
          <w:sz w:val="24"/>
        </w:rPr>
      </w:pPr>
      <w:r w:rsidRPr="000D3307">
        <w:rPr>
          <w:rFonts w:ascii="Times New Roman" w:hAnsi="Times New Roman"/>
          <w:b w:val="0"/>
          <w:bCs w:val="0"/>
          <w:color w:val="002060"/>
          <w:sz w:val="24"/>
        </w:rPr>
        <w:t>a data ingestion and ETL layer</w:t>
      </w:r>
    </w:p>
    <w:p w14:paraId="19032C89" w14:textId="77777777" w:rsidR="000D3307" w:rsidRPr="000D3307" w:rsidRDefault="000D3307" w:rsidP="000D3307">
      <w:pPr>
        <w:numPr>
          <w:ilvl w:val="0"/>
          <w:numId w:val="18"/>
        </w:numPr>
        <w:spacing w:line="276" w:lineRule="auto"/>
        <w:jc w:val="both"/>
        <w:rPr>
          <w:rFonts w:ascii="Times New Roman" w:hAnsi="Times New Roman"/>
          <w:b w:val="0"/>
          <w:bCs w:val="0"/>
          <w:color w:val="002060"/>
          <w:sz w:val="24"/>
        </w:rPr>
      </w:pPr>
      <w:r w:rsidRPr="000D3307">
        <w:rPr>
          <w:rFonts w:ascii="Times New Roman" w:hAnsi="Times New Roman"/>
          <w:b w:val="0"/>
          <w:bCs w:val="0"/>
          <w:color w:val="002060"/>
          <w:sz w:val="24"/>
        </w:rPr>
        <w:t>a centralized enterprise Data Warehouse with subject-area data marts and staging areas</w:t>
      </w:r>
    </w:p>
    <w:p w14:paraId="29D036DF" w14:textId="77777777" w:rsidR="000D3307" w:rsidRPr="000D3307" w:rsidRDefault="000D3307" w:rsidP="000D3307">
      <w:pPr>
        <w:numPr>
          <w:ilvl w:val="0"/>
          <w:numId w:val="18"/>
        </w:numPr>
        <w:spacing w:line="276" w:lineRule="auto"/>
        <w:jc w:val="both"/>
        <w:rPr>
          <w:rFonts w:ascii="Times New Roman" w:hAnsi="Times New Roman"/>
          <w:b w:val="0"/>
          <w:bCs w:val="0"/>
          <w:color w:val="002060"/>
          <w:sz w:val="24"/>
        </w:rPr>
      </w:pPr>
      <w:r w:rsidRPr="000D3307">
        <w:rPr>
          <w:rFonts w:ascii="Times New Roman" w:hAnsi="Times New Roman"/>
          <w:b w:val="0"/>
          <w:bCs w:val="0"/>
          <w:color w:val="002060"/>
          <w:sz w:val="24"/>
        </w:rPr>
        <w:lastRenderedPageBreak/>
        <w:t>a semantic / data modelling layer</w:t>
      </w:r>
    </w:p>
    <w:p w14:paraId="33D5DE35" w14:textId="77777777" w:rsidR="000D3307" w:rsidRPr="000D3307" w:rsidRDefault="000D3307" w:rsidP="000D3307">
      <w:pPr>
        <w:numPr>
          <w:ilvl w:val="0"/>
          <w:numId w:val="18"/>
        </w:numPr>
        <w:spacing w:after="160" w:line="276" w:lineRule="auto"/>
        <w:jc w:val="both"/>
        <w:rPr>
          <w:rFonts w:ascii="Times New Roman" w:hAnsi="Times New Roman"/>
          <w:b w:val="0"/>
          <w:bCs w:val="0"/>
          <w:color w:val="002060"/>
          <w:sz w:val="24"/>
        </w:rPr>
      </w:pPr>
      <w:r w:rsidRPr="000D3307">
        <w:rPr>
          <w:rFonts w:ascii="Times New Roman" w:hAnsi="Times New Roman"/>
          <w:b w:val="0"/>
          <w:bCs w:val="0"/>
          <w:color w:val="002060"/>
          <w:sz w:val="24"/>
        </w:rPr>
        <w:t>an analytics and reporting layer.</w:t>
      </w:r>
    </w:p>
    <w:p w14:paraId="2EBA5EE3" w14:textId="77777777" w:rsidR="000D3307" w:rsidRPr="000D3307" w:rsidRDefault="000D3307" w:rsidP="000D3307">
      <w:pPr>
        <w:spacing w:line="276" w:lineRule="auto"/>
        <w:jc w:val="both"/>
        <w:rPr>
          <w:rFonts w:ascii="Times New Roman" w:hAnsi="Times New Roman"/>
          <w:b w:val="0"/>
          <w:bCs w:val="0"/>
          <w:color w:val="002060"/>
          <w:sz w:val="24"/>
        </w:rPr>
      </w:pPr>
      <w:r w:rsidRPr="000D3307">
        <w:rPr>
          <w:rFonts w:ascii="Times New Roman" w:hAnsi="Times New Roman"/>
          <w:b w:val="0"/>
          <w:bCs w:val="0"/>
          <w:color w:val="002060"/>
          <w:sz w:val="24"/>
        </w:rPr>
        <w:t>The database backbone is Microsoft SQL Server using advanced features such as column store indexes, table partitioning, materialized views and high availability / disaster recovery options to handle large-scale, historical and current data in fact–dimension schemas optimized for analytical queries.</w:t>
      </w:r>
    </w:p>
    <w:p w14:paraId="3ED6F6D1" w14:textId="2538D5AF" w:rsidR="000D3307" w:rsidRPr="000D3307" w:rsidRDefault="000D3307" w:rsidP="000D3307">
      <w:pPr>
        <w:spacing w:line="276" w:lineRule="auto"/>
        <w:jc w:val="both"/>
        <w:rPr>
          <w:rFonts w:ascii="Times New Roman" w:hAnsi="Times New Roman"/>
          <w:b w:val="0"/>
          <w:bCs w:val="0"/>
          <w:color w:val="002060"/>
          <w:sz w:val="24"/>
        </w:rPr>
      </w:pPr>
      <w:r w:rsidRPr="000D3307">
        <w:rPr>
          <w:rFonts w:ascii="Times New Roman" w:hAnsi="Times New Roman"/>
          <w:b w:val="0"/>
          <w:bCs w:val="0"/>
          <w:color w:val="002060"/>
          <w:sz w:val="24"/>
        </w:rPr>
        <w:t>On top of the DWH, the solution uses Power BI technologies to provide both standardized and self-service analytics. An on-premises Power BI Report Server will host interactive dashboards and paginated reports with unlimited internal users, while a set of Power BI Pro cloud licenses enables collaboration, sharing and modern self-service analytics scenarios where appropriate. Users will access rich, interactive visualizations (charts, KPIs, maps, matrices, trend lines), with</w:t>
      </w:r>
      <w:r>
        <w:rPr>
          <w:rFonts w:ascii="Times New Roman" w:hAnsi="Times New Roman"/>
          <w:b w:val="0"/>
          <w:bCs w:val="0"/>
          <w:color w:val="002060"/>
          <w:sz w:val="24"/>
        </w:rPr>
        <w:t xml:space="preserve"> </w:t>
      </w:r>
      <w:r w:rsidRPr="000D3307">
        <w:rPr>
          <w:rFonts w:ascii="Times New Roman" w:hAnsi="Times New Roman"/>
          <w:b w:val="0"/>
          <w:bCs w:val="0"/>
          <w:color w:val="002060"/>
          <w:sz w:val="24"/>
        </w:rPr>
        <w:t>support</w:t>
      </w:r>
      <w:r>
        <w:rPr>
          <w:rFonts w:ascii="Times New Roman" w:hAnsi="Times New Roman"/>
          <w:b w:val="0"/>
          <w:bCs w:val="0"/>
          <w:color w:val="002060"/>
          <w:sz w:val="24"/>
        </w:rPr>
        <w:t xml:space="preserve"> </w:t>
      </w:r>
      <w:r w:rsidRPr="000D3307">
        <w:rPr>
          <w:rFonts w:ascii="Times New Roman" w:hAnsi="Times New Roman"/>
          <w:b w:val="0"/>
          <w:bCs w:val="0"/>
          <w:color w:val="002060"/>
          <w:sz w:val="24"/>
        </w:rPr>
        <w:t>for</w:t>
      </w:r>
      <w:r>
        <w:rPr>
          <w:rFonts w:ascii="Times New Roman" w:hAnsi="Times New Roman"/>
          <w:b w:val="0"/>
          <w:bCs w:val="0"/>
          <w:color w:val="002060"/>
          <w:sz w:val="24"/>
        </w:rPr>
        <w:t xml:space="preserve"> </w:t>
      </w:r>
      <w:r w:rsidRPr="000D3307">
        <w:rPr>
          <w:rFonts w:ascii="Times New Roman" w:hAnsi="Times New Roman"/>
          <w:b w:val="0"/>
          <w:bCs w:val="0"/>
          <w:color w:val="002060"/>
          <w:sz w:val="24"/>
        </w:rPr>
        <w:t>drill-down/drill-through,</w:t>
      </w:r>
      <w:r>
        <w:rPr>
          <w:rFonts w:ascii="Times New Roman" w:hAnsi="Times New Roman"/>
          <w:b w:val="0"/>
          <w:bCs w:val="0"/>
          <w:color w:val="002060"/>
          <w:sz w:val="24"/>
        </w:rPr>
        <w:t xml:space="preserve"> </w:t>
      </w:r>
      <w:r w:rsidRPr="000D3307">
        <w:rPr>
          <w:rFonts w:ascii="Times New Roman" w:hAnsi="Times New Roman"/>
          <w:b w:val="0"/>
          <w:bCs w:val="0"/>
          <w:color w:val="002060"/>
          <w:sz w:val="24"/>
        </w:rPr>
        <w:t xml:space="preserve">cross-highlighting, conditional formatting, </w:t>
      </w:r>
      <w:r>
        <w:rPr>
          <w:rFonts w:ascii="Times New Roman" w:hAnsi="Times New Roman"/>
          <w:b w:val="0"/>
          <w:bCs w:val="0"/>
          <w:color w:val="002060"/>
          <w:sz w:val="24"/>
        </w:rPr>
        <w:t xml:space="preserve"> </w:t>
      </w:r>
      <w:r w:rsidRPr="000D3307">
        <w:rPr>
          <w:rFonts w:ascii="Times New Roman" w:hAnsi="Times New Roman"/>
          <w:b w:val="0"/>
          <w:bCs w:val="0"/>
          <w:color w:val="002060"/>
          <w:sz w:val="24"/>
        </w:rPr>
        <w:t>bookmarks and export to common formats (Excel, CSV, PDF, images).</w:t>
      </w:r>
    </w:p>
    <w:p w14:paraId="57C78D49" w14:textId="77777777" w:rsidR="000D3307" w:rsidRPr="000D3307" w:rsidRDefault="000D3307" w:rsidP="000D3307">
      <w:pPr>
        <w:spacing w:line="276" w:lineRule="auto"/>
        <w:jc w:val="both"/>
        <w:rPr>
          <w:rFonts w:ascii="Times New Roman" w:hAnsi="Times New Roman"/>
          <w:b w:val="0"/>
          <w:bCs w:val="0"/>
          <w:color w:val="002060"/>
          <w:sz w:val="24"/>
        </w:rPr>
      </w:pPr>
      <w:r w:rsidRPr="000D3307">
        <w:rPr>
          <w:rFonts w:ascii="Times New Roman" w:hAnsi="Times New Roman"/>
          <w:b w:val="0"/>
          <w:bCs w:val="0"/>
          <w:color w:val="002060"/>
          <w:sz w:val="24"/>
        </w:rPr>
        <w:t>The platform is designed to connect to a broad spectrum of internal and external data sources-including relational databases, Excel/CSV files, XML/JSON feeds and web APIs-combining imported (cached) datasets with Direct Query/real-time access where needed. Comprehensive data transformation and preparation capabilities (profiling, deduplication, pivot/unpivot, type conversions, business rules, conditional logic) ensure that data entering the warehouse is clean, consistent and analytically ready. Data quality, data lineage and master data management (e.g. harmonized definitions for farms, crops, administrative zones) are explicitly required, as well as robust governance, logging and audit trails at every stage of the data lifecycle.</w:t>
      </w:r>
    </w:p>
    <w:p w14:paraId="1D840FCD" w14:textId="77777777" w:rsidR="000D3307" w:rsidRPr="000D3307" w:rsidRDefault="000D3307" w:rsidP="000D3307">
      <w:pPr>
        <w:spacing w:line="276" w:lineRule="auto"/>
        <w:jc w:val="both"/>
        <w:rPr>
          <w:rFonts w:ascii="Times New Roman" w:hAnsi="Times New Roman"/>
          <w:b w:val="0"/>
          <w:bCs w:val="0"/>
          <w:color w:val="002060"/>
          <w:sz w:val="24"/>
        </w:rPr>
      </w:pPr>
      <w:r w:rsidRPr="000D3307">
        <w:rPr>
          <w:rFonts w:ascii="Times New Roman" w:hAnsi="Times New Roman"/>
          <w:b w:val="0"/>
          <w:bCs w:val="0"/>
          <w:color w:val="002060"/>
          <w:sz w:val="24"/>
        </w:rPr>
        <w:t>From a non-functional perspective, the BI/DWH platform must deliver high performance, scalability, security and availability. Standard dashboards and reports are expected to load in a few seconds under concurrent load; the solution must support vertical and horizontal scaling to accommodate growing data volumes and new thematic domains (e.g. climate, market prices), and must achieve high availability with redundancy across servers, storage and network components. Security is managed end-to-end, including encryption of data at rest and in transit, role-based access control at database and BI layers, row-level security in the semantic models and full compliance with national and EU data protection regulations, supported by detailed audit logs.</w:t>
      </w:r>
    </w:p>
    <w:p w14:paraId="6E5EDCA0" w14:textId="77777777" w:rsidR="000D3307" w:rsidRPr="000D3307" w:rsidRDefault="000D3307" w:rsidP="000D3307">
      <w:pPr>
        <w:spacing w:line="276" w:lineRule="auto"/>
        <w:jc w:val="both"/>
        <w:rPr>
          <w:rFonts w:ascii="Times New Roman" w:hAnsi="Times New Roman"/>
          <w:b w:val="0"/>
          <w:bCs w:val="0"/>
          <w:color w:val="002060"/>
          <w:sz w:val="24"/>
        </w:rPr>
      </w:pPr>
      <w:r w:rsidRPr="000D3307">
        <w:rPr>
          <w:rFonts w:ascii="Times New Roman" w:hAnsi="Times New Roman"/>
          <w:b w:val="0"/>
          <w:bCs w:val="0"/>
          <w:color w:val="002060"/>
          <w:sz w:val="24"/>
        </w:rPr>
        <w:t>To ensure sustainability, the technical solution also foresees structured training and testing regimes: differentiated training tracks for executives, analysts, report creators, data engineers/modelers and system administrators, alongside comprehensive functional, performance, security and data accuracy testing in a dedicated test environment prior to go-live.</w:t>
      </w:r>
    </w:p>
    <w:p w14:paraId="4842C5F5" w14:textId="77777777" w:rsidR="000D3307" w:rsidRPr="000D3307" w:rsidRDefault="000D3307" w:rsidP="000D3307">
      <w:pPr>
        <w:spacing w:line="276" w:lineRule="auto"/>
        <w:jc w:val="both"/>
        <w:rPr>
          <w:rFonts w:ascii="Times New Roman" w:hAnsi="Times New Roman"/>
          <w:b w:val="0"/>
          <w:bCs w:val="0"/>
          <w:color w:val="002060"/>
          <w:sz w:val="24"/>
        </w:rPr>
      </w:pPr>
      <w:r w:rsidRPr="000D3307">
        <w:rPr>
          <w:rFonts w:ascii="Times New Roman" w:hAnsi="Times New Roman"/>
          <w:b w:val="0"/>
          <w:bCs w:val="0"/>
          <w:color w:val="002060"/>
          <w:sz w:val="24"/>
        </w:rPr>
        <w:t>On this basis, the present consultancy will design and implement the detailed DWH models, ETL processes, semantic models and Power BI reports/dashboards, and will build internal capacity within the Client to operate and evolve the platform over time.</w:t>
      </w:r>
    </w:p>
    <w:p w14:paraId="3AD96383" w14:textId="77777777" w:rsidR="005E2A34" w:rsidRPr="00625BC2" w:rsidRDefault="005E2A34" w:rsidP="00625BC2">
      <w:pPr>
        <w:spacing w:before="240" w:after="240" w:line="276" w:lineRule="auto"/>
        <w:jc w:val="both"/>
        <w:rPr>
          <w:rFonts w:ascii="Times New Roman" w:hAnsi="Times New Roman"/>
          <w:b w:val="0"/>
          <w:color w:val="002060"/>
          <w:sz w:val="24"/>
        </w:rPr>
      </w:pPr>
      <w:r w:rsidRPr="00625BC2">
        <w:rPr>
          <w:rFonts w:ascii="Times New Roman" w:hAnsi="Times New Roman"/>
          <w:color w:val="002060"/>
          <w:sz w:val="24"/>
        </w:rPr>
        <w:t>Qualifications of the firms</w:t>
      </w:r>
    </w:p>
    <w:p w14:paraId="0BF0A9D8" w14:textId="6DAA12B0"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The contract shall be awarded following a Quality</w:t>
      </w:r>
      <w:r w:rsidR="005348AD">
        <w:rPr>
          <w:rFonts w:ascii="Times New Roman" w:hAnsi="Times New Roman"/>
          <w:b w:val="0"/>
          <w:bCs w:val="0"/>
          <w:color w:val="002060"/>
          <w:sz w:val="24"/>
          <w:lang w:val="en-GB"/>
        </w:rPr>
        <w:t xml:space="preserve"> </w:t>
      </w:r>
      <w:r w:rsidRPr="00625BC2">
        <w:rPr>
          <w:rFonts w:ascii="Times New Roman" w:hAnsi="Times New Roman"/>
          <w:b w:val="0"/>
          <w:bCs w:val="0"/>
          <w:color w:val="002060"/>
          <w:sz w:val="24"/>
          <w:lang w:val="en-GB"/>
        </w:rPr>
        <w:t>and Cost-Based Selection (QCBS) procedure, in accordance with the World Bank’s Procurement Regulations for IPF Borrowers: "Procurement in Investment Project Financing – Goods, Works, Non-Consulting and Consulting Services" (July 2016, revised November 2017, August 2018, and November 2020).</w:t>
      </w:r>
    </w:p>
    <w:p w14:paraId="2AB07932" w14:textId="77777777" w:rsidR="00625BC2" w:rsidRPr="00625BC2" w:rsidRDefault="00625BC2" w:rsidP="00625BC2">
      <w:p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lastRenderedPageBreak/>
        <w:t>The Consultant may associate with other entities in the form of a joint venture or sub-consultancy to complement respective areas of expertise, enhance technical responsiveness, provide a broader expert pool, and strengthen methodological approaches.</w:t>
      </w:r>
    </w:p>
    <w:p w14:paraId="0701039B" w14:textId="77777777" w:rsidR="00625BC2" w:rsidRPr="00625BC2" w:rsidRDefault="00625BC2" w:rsidP="00625BC2">
      <w:pPr>
        <w:spacing w:before="240" w:after="120"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The Consultant shall be a firm or group of firms with the following minimum qualifications:</w:t>
      </w:r>
    </w:p>
    <w:p w14:paraId="248BB902" w14:textId="0E5F5E5A" w:rsidR="007E2A84" w:rsidRPr="007E2A84" w:rsidRDefault="007E2A84" w:rsidP="007E2A84">
      <w:pPr>
        <w:spacing w:line="276" w:lineRule="auto"/>
        <w:jc w:val="both"/>
        <w:rPr>
          <w:rFonts w:ascii="Times New Roman" w:hAnsi="Times New Roman"/>
          <w:b w:val="0"/>
          <w:bCs w:val="0"/>
          <w:color w:val="002060"/>
          <w:sz w:val="24"/>
        </w:rPr>
      </w:pPr>
      <w:r w:rsidRPr="007E2A84">
        <w:rPr>
          <w:rFonts w:ascii="Times New Roman" w:hAnsi="Times New Roman"/>
          <w:b w:val="0"/>
          <w:bCs w:val="0"/>
          <w:color w:val="002060"/>
          <w:sz w:val="24"/>
        </w:rPr>
        <w:t>General Experience</w:t>
      </w:r>
    </w:p>
    <w:p w14:paraId="1F45452A" w14:textId="77777777" w:rsidR="007E2A84" w:rsidRPr="007E2A84" w:rsidRDefault="007E2A84" w:rsidP="007E2A84">
      <w:pPr>
        <w:spacing w:line="276" w:lineRule="auto"/>
        <w:jc w:val="both"/>
        <w:rPr>
          <w:rFonts w:ascii="Times New Roman" w:hAnsi="Times New Roman"/>
          <w:b w:val="0"/>
          <w:bCs w:val="0"/>
          <w:color w:val="002060"/>
          <w:sz w:val="24"/>
        </w:rPr>
      </w:pPr>
      <w:r w:rsidRPr="007E2A84">
        <w:rPr>
          <w:rFonts w:ascii="Times New Roman" w:hAnsi="Times New Roman"/>
          <w:b w:val="0"/>
          <w:bCs w:val="0"/>
          <w:color w:val="002060"/>
          <w:sz w:val="24"/>
        </w:rPr>
        <w:t>At least 7 years of professional experience in the design, implementation, integration, and support of Data Warehouse (DWH), Business Intelligence (BI), system integration, and supporting infrastructure platforms.</w:t>
      </w:r>
    </w:p>
    <w:p w14:paraId="3F7B2204" w14:textId="77777777" w:rsidR="007E2A84" w:rsidRPr="007E2A84" w:rsidRDefault="007E2A84" w:rsidP="007E2A84">
      <w:pPr>
        <w:spacing w:line="276" w:lineRule="auto"/>
        <w:jc w:val="both"/>
        <w:rPr>
          <w:rFonts w:ascii="Times New Roman" w:hAnsi="Times New Roman"/>
          <w:b w:val="0"/>
          <w:bCs w:val="0"/>
          <w:color w:val="002060"/>
          <w:sz w:val="24"/>
        </w:rPr>
      </w:pPr>
      <w:r w:rsidRPr="007E2A84">
        <w:rPr>
          <w:rFonts w:ascii="Times New Roman" w:hAnsi="Times New Roman"/>
          <w:b w:val="0"/>
          <w:bCs w:val="0"/>
          <w:color w:val="002060"/>
          <w:sz w:val="24"/>
        </w:rPr>
        <w:t>Demonstrated experience in the delivery of end-to-end software platform projects, including requirements analysis, architecture design, data modelling, ETL/ELT development, reporting, dashboarding, testing, deployment, and knowledge transfer.</w:t>
      </w:r>
    </w:p>
    <w:p w14:paraId="71D4D169" w14:textId="77777777" w:rsidR="007E2A84" w:rsidRPr="007E2A84" w:rsidRDefault="007E2A84" w:rsidP="007E2A84">
      <w:pPr>
        <w:spacing w:line="276" w:lineRule="auto"/>
        <w:jc w:val="both"/>
        <w:rPr>
          <w:rFonts w:ascii="Times New Roman" w:hAnsi="Times New Roman"/>
          <w:b w:val="0"/>
          <w:bCs w:val="0"/>
          <w:color w:val="002060"/>
          <w:sz w:val="24"/>
        </w:rPr>
      </w:pPr>
      <w:r w:rsidRPr="007E2A84">
        <w:rPr>
          <w:rFonts w:ascii="Times New Roman" w:hAnsi="Times New Roman"/>
          <w:b w:val="0"/>
          <w:bCs w:val="0"/>
          <w:color w:val="002060"/>
          <w:sz w:val="24"/>
        </w:rPr>
        <w:t>Proven experience in the design and/or implementation of on-premises and/or cloud-based data platforms, including secure environments, role-based access control, backup, recovery, and operational support arrangements.</w:t>
      </w:r>
    </w:p>
    <w:p w14:paraId="0C72A0CF" w14:textId="30FCE5D6" w:rsidR="007E2A84" w:rsidRPr="007E2A84" w:rsidRDefault="007E2A84" w:rsidP="007E2A84">
      <w:pPr>
        <w:spacing w:line="276" w:lineRule="auto"/>
        <w:jc w:val="both"/>
        <w:rPr>
          <w:rFonts w:ascii="Times New Roman" w:hAnsi="Times New Roman"/>
          <w:b w:val="0"/>
          <w:bCs w:val="0"/>
          <w:color w:val="002060"/>
          <w:sz w:val="24"/>
        </w:rPr>
      </w:pPr>
      <w:r w:rsidRPr="007E2A84">
        <w:rPr>
          <w:rFonts w:ascii="Times New Roman" w:hAnsi="Times New Roman"/>
          <w:b w:val="0"/>
          <w:bCs w:val="0"/>
          <w:color w:val="002060"/>
          <w:sz w:val="24"/>
        </w:rPr>
        <w:t>Specific Experience</w:t>
      </w:r>
    </w:p>
    <w:p w14:paraId="248FDBD3" w14:textId="77777777" w:rsidR="007E2A84" w:rsidRPr="007E2A84" w:rsidRDefault="007E2A84" w:rsidP="007E2A84">
      <w:pPr>
        <w:spacing w:line="276" w:lineRule="auto"/>
        <w:jc w:val="both"/>
        <w:rPr>
          <w:rFonts w:ascii="Times New Roman" w:hAnsi="Times New Roman"/>
          <w:b w:val="0"/>
          <w:bCs w:val="0"/>
          <w:color w:val="002060"/>
          <w:sz w:val="24"/>
        </w:rPr>
      </w:pPr>
      <w:r w:rsidRPr="007E2A84">
        <w:rPr>
          <w:rFonts w:ascii="Times New Roman" w:hAnsi="Times New Roman"/>
          <w:b w:val="0"/>
          <w:bCs w:val="0"/>
          <w:color w:val="002060"/>
          <w:sz w:val="24"/>
        </w:rPr>
        <w:t>At least three (3) contracts of similar scope and complexity completed during the last seven (7) years,  with a budget of minimum 300,000 USD for each of them, involving one or more of the following: Data Warehouse and BI platform implementation; data integration and interoperability between multiple source systems; analytical dashboards and management reporting platforms; database architecture and reporting environments; or IT infrastructure supporting DWH/BI workloads.</w:t>
      </w:r>
    </w:p>
    <w:p w14:paraId="3DF0F117" w14:textId="77777777" w:rsidR="007E2A84" w:rsidRPr="007E2A84" w:rsidRDefault="007E2A84" w:rsidP="007E2A84">
      <w:pPr>
        <w:spacing w:line="276" w:lineRule="auto"/>
        <w:jc w:val="both"/>
        <w:rPr>
          <w:rFonts w:ascii="Times New Roman" w:hAnsi="Times New Roman"/>
          <w:b w:val="0"/>
          <w:bCs w:val="0"/>
          <w:color w:val="002060"/>
          <w:sz w:val="24"/>
        </w:rPr>
      </w:pPr>
      <w:r w:rsidRPr="007E2A84">
        <w:rPr>
          <w:rFonts w:ascii="Times New Roman" w:hAnsi="Times New Roman"/>
          <w:b w:val="0"/>
          <w:bCs w:val="0"/>
          <w:color w:val="002060"/>
          <w:sz w:val="24"/>
        </w:rPr>
        <w:t>At least two (2) assignments in the public sector, or in sectors with comparable data governance and reporting requirements, such as agriculture, rural development, public finance, statistics, or e-government solutions.</w:t>
      </w:r>
    </w:p>
    <w:p w14:paraId="5F5DC51D" w14:textId="77777777" w:rsidR="007E2A84" w:rsidRPr="007E2A84" w:rsidRDefault="007E2A84" w:rsidP="007E2A84">
      <w:pPr>
        <w:spacing w:line="276" w:lineRule="auto"/>
        <w:jc w:val="both"/>
        <w:rPr>
          <w:rFonts w:ascii="Times New Roman" w:hAnsi="Times New Roman"/>
          <w:b w:val="0"/>
          <w:bCs w:val="0"/>
          <w:color w:val="002060"/>
          <w:sz w:val="24"/>
        </w:rPr>
      </w:pPr>
      <w:r w:rsidRPr="007E2A84">
        <w:rPr>
          <w:rFonts w:ascii="Times New Roman" w:hAnsi="Times New Roman"/>
          <w:b w:val="0"/>
          <w:bCs w:val="0"/>
          <w:color w:val="002060"/>
          <w:sz w:val="24"/>
        </w:rPr>
        <w:t>At least one (1) assignment involving multi-source data consolidation, including integration with operational databases, external systems, or other heterogeneous data sources including on prem and cloud integration.</w:t>
      </w:r>
    </w:p>
    <w:p w14:paraId="2B5FC77F" w14:textId="77777777" w:rsidR="007E2A84" w:rsidRPr="007E2A84" w:rsidRDefault="007E2A84" w:rsidP="007E2A84">
      <w:pPr>
        <w:spacing w:line="276" w:lineRule="auto"/>
        <w:jc w:val="both"/>
        <w:rPr>
          <w:rFonts w:ascii="Times New Roman" w:hAnsi="Times New Roman"/>
          <w:b w:val="0"/>
          <w:bCs w:val="0"/>
          <w:color w:val="002060"/>
          <w:sz w:val="24"/>
        </w:rPr>
      </w:pPr>
      <w:r w:rsidRPr="007E2A84">
        <w:rPr>
          <w:rFonts w:ascii="Times New Roman" w:hAnsi="Times New Roman"/>
          <w:b w:val="0"/>
          <w:bCs w:val="0"/>
          <w:color w:val="002060"/>
          <w:sz w:val="24"/>
        </w:rPr>
        <w:t xml:space="preserve">Experience in BI applied in Agriculture will be an advantage </w:t>
      </w:r>
    </w:p>
    <w:p w14:paraId="14752470" w14:textId="710A0FFE" w:rsidR="007E2A84" w:rsidRPr="007E2A84" w:rsidRDefault="007E2A84" w:rsidP="007E2A84">
      <w:pPr>
        <w:spacing w:line="276" w:lineRule="auto"/>
        <w:jc w:val="both"/>
        <w:rPr>
          <w:rFonts w:ascii="Times New Roman" w:hAnsi="Times New Roman"/>
          <w:b w:val="0"/>
          <w:bCs w:val="0"/>
          <w:color w:val="002060"/>
          <w:sz w:val="24"/>
        </w:rPr>
      </w:pPr>
      <w:r w:rsidRPr="007E2A84">
        <w:rPr>
          <w:rFonts w:ascii="Times New Roman" w:hAnsi="Times New Roman"/>
          <w:b w:val="0"/>
          <w:bCs w:val="0"/>
          <w:color w:val="002060"/>
          <w:sz w:val="24"/>
        </w:rPr>
        <w:t>Submission of Similar Experience</w:t>
      </w:r>
    </w:p>
    <w:p w14:paraId="6D03933C" w14:textId="77777777" w:rsidR="007E2A84" w:rsidRPr="007E2A84" w:rsidRDefault="007E2A84" w:rsidP="007E2A84">
      <w:pPr>
        <w:spacing w:line="276" w:lineRule="auto"/>
        <w:jc w:val="both"/>
        <w:rPr>
          <w:rFonts w:ascii="Times New Roman" w:hAnsi="Times New Roman"/>
          <w:b w:val="0"/>
          <w:bCs w:val="0"/>
          <w:color w:val="002060"/>
          <w:sz w:val="24"/>
        </w:rPr>
      </w:pPr>
      <w:r w:rsidRPr="007E2A84">
        <w:rPr>
          <w:rFonts w:ascii="Times New Roman" w:hAnsi="Times New Roman"/>
          <w:b w:val="0"/>
          <w:bCs w:val="0"/>
          <w:color w:val="002060"/>
          <w:sz w:val="24"/>
        </w:rPr>
        <w:t>For each reference project, the Consultant shall provide at least: client name and country; contract title and brief description of scope; contract value; start and completion dates; description of services performed by the Consultant; technologies/platforms used; and contact details for client reference, where available. The specific experience shall be proved by submitting description of the relevant projects, client`s acceptance or operational certificates, or relevant invoices stating clearly the description of goods and services as required for similar experience together with proof of received payments.</w:t>
      </w:r>
    </w:p>
    <w:p w14:paraId="3D3447A1" w14:textId="77777777" w:rsidR="007E2A84" w:rsidRPr="007E2A84" w:rsidRDefault="007E2A84" w:rsidP="007E2A84">
      <w:pPr>
        <w:spacing w:line="276" w:lineRule="auto"/>
        <w:jc w:val="both"/>
        <w:rPr>
          <w:rFonts w:ascii="Times New Roman" w:hAnsi="Times New Roman"/>
          <w:b w:val="0"/>
          <w:bCs w:val="0"/>
          <w:color w:val="002060"/>
          <w:sz w:val="24"/>
        </w:rPr>
      </w:pPr>
      <w:r w:rsidRPr="007E2A84">
        <w:rPr>
          <w:rFonts w:ascii="Times New Roman" w:hAnsi="Times New Roman"/>
          <w:b w:val="0"/>
          <w:bCs w:val="0"/>
          <w:color w:val="002060"/>
          <w:sz w:val="24"/>
        </w:rPr>
        <w:t xml:space="preserve">Consortium members may combine their experience to meet the qualification requirements; however, the lead member shall demonstrate substantial experience in managing and delivering assignments of similar scope and complexity. </w:t>
      </w:r>
    </w:p>
    <w:p w14:paraId="47DBCA83" w14:textId="36D5CA1E" w:rsidR="00625BC2" w:rsidRPr="00625BC2" w:rsidRDefault="00625BC2" w:rsidP="0002568A">
      <w:pPr>
        <w:spacing w:before="240"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Firms will be shortlisted based on the following evaluation criteria:</w:t>
      </w:r>
    </w:p>
    <w:p w14:paraId="55F4E0F3" w14:textId="77777777" w:rsidR="00625BC2" w:rsidRPr="00625BC2" w:rsidRDefault="00625BC2" w:rsidP="00625BC2">
      <w:pPr>
        <w:numPr>
          <w:ilvl w:val="0"/>
          <w:numId w:val="15"/>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Core business and years of operation – 30 points</w:t>
      </w:r>
    </w:p>
    <w:p w14:paraId="2E66B08E" w14:textId="77777777" w:rsidR="00625BC2" w:rsidRPr="00625BC2" w:rsidRDefault="00625BC2" w:rsidP="00625BC2">
      <w:pPr>
        <w:numPr>
          <w:ilvl w:val="0"/>
          <w:numId w:val="15"/>
        </w:numPr>
        <w:spacing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Relevant experience in similar assignments – 60 points</w:t>
      </w:r>
    </w:p>
    <w:p w14:paraId="34900F1A" w14:textId="77777777" w:rsidR="00625BC2" w:rsidRPr="00625BC2" w:rsidRDefault="00625BC2" w:rsidP="00625BC2">
      <w:pPr>
        <w:numPr>
          <w:ilvl w:val="0"/>
          <w:numId w:val="15"/>
        </w:numPr>
        <w:spacing w:after="120" w:line="276" w:lineRule="auto"/>
        <w:jc w:val="both"/>
        <w:rPr>
          <w:rFonts w:ascii="Times New Roman" w:hAnsi="Times New Roman"/>
          <w:b w:val="0"/>
          <w:bCs w:val="0"/>
          <w:color w:val="002060"/>
          <w:sz w:val="24"/>
          <w:lang w:val="en-GB"/>
        </w:rPr>
      </w:pPr>
      <w:r w:rsidRPr="00625BC2">
        <w:rPr>
          <w:rFonts w:ascii="Times New Roman" w:hAnsi="Times New Roman"/>
          <w:b w:val="0"/>
          <w:bCs w:val="0"/>
          <w:color w:val="002060"/>
          <w:sz w:val="24"/>
          <w:lang w:val="en-GB"/>
        </w:rPr>
        <w:t>Availability of qualified in-house staff – 10 points</w:t>
      </w:r>
    </w:p>
    <w:p w14:paraId="74104857" w14:textId="432B71FA" w:rsidR="0059325C" w:rsidRPr="00625BC2" w:rsidRDefault="0059325C" w:rsidP="0032222C">
      <w:pPr>
        <w:pStyle w:val="BodyText"/>
        <w:spacing w:before="240" w:line="276" w:lineRule="auto"/>
        <w:ind w:right="62"/>
        <w:jc w:val="both"/>
        <w:rPr>
          <w:rFonts w:ascii="Times New Roman" w:hAnsi="Times New Roman" w:cs="Times New Roman"/>
          <w:color w:val="002060"/>
          <w:sz w:val="24"/>
          <w:lang w:val="en-GB"/>
        </w:rPr>
      </w:pPr>
      <w:r w:rsidRPr="00625BC2">
        <w:rPr>
          <w:rFonts w:ascii="Times New Roman" w:hAnsi="Times New Roman" w:cs="Times New Roman"/>
          <w:color w:val="002060"/>
          <w:sz w:val="24"/>
          <w:lang w:val="en-GB"/>
        </w:rPr>
        <w:lastRenderedPageBreak/>
        <w:t xml:space="preserve">The CVs of Key experts will not be evaluated during the shortlisting process.  </w:t>
      </w:r>
    </w:p>
    <w:p w14:paraId="6402ED26" w14:textId="703614A0" w:rsidR="002D568A" w:rsidRPr="00625BC2" w:rsidRDefault="002D568A" w:rsidP="0018438B">
      <w:pPr>
        <w:autoSpaceDE w:val="0"/>
        <w:autoSpaceDN w:val="0"/>
        <w:adjustRightInd w:val="0"/>
        <w:spacing w:before="240" w:line="276" w:lineRule="auto"/>
        <w:jc w:val="both"/>
        <w:rPr>
          <w:rFonts w:ascii="Times New Roman" w:eastAsia="Calibri" w:hAnsi="Times New Roman"/>
          <w:b w:val="0"/>
          <w:bCs w:val="0"/>
          <w:color w:val="002060"/>
          <w:sz w:val="24"/>
          <w:lang w:val="en-US"/>
        </w:rPr>
      </w:pPr>
      <w:r w:rsidRPr="00625BC2">
        <w:rPr>
          <w:rFonts w:ascii="Times New Roman" w:eastAsia="Calibri" w:hAnsi="Times New Roman"/>
          <w:b w:val="0"/>
          <w:bCs w:val="0"/>
          <w:color w:val="002060"/>
          <w:sz w:val="24"/>
          <w:lang w:val="en-US"/>
        </w:rPr>
        <w:t xml:space="preserve">The attention of interested Consultants is drawn to Section III, paragraphs, 3.14, 3.16, and 3.17 of the World Bank’s “Procurement Regulations for IPF Borrowers” July 2016 revised November 2020 (“Procurement Regulations”), setting forth the World Bank’s policy on conflict of interest. </w:t>
      </w:r>
    </w:p>
    <w:p w14:paraId="5F50C144" w14:textId="5FB9CA79" w:rsidR="002D568A" w:rsidRPr="00625BC2" w:rsidRDefault="002D568A" w:rsidP="0018438B">
      <w:pPr>
        <w:autoSpaceDE w:val="0"/>
        <w:autoSpaceDN w:val="0"/>
        <w:adjustRightInd w:val="0"/>
        <w:spacing w:line="276" w:lineRule="auto"/>
        <w:jc w:val="both"/>
        <w:rPr>
          <w:rFonts w:ascii="Times New Roman" w:eastAsia="Calibri" w:hAnsi="Times New Roman"/>
          <w:b w:val="0"/>
          <w:bCs w:val="0"/>
          <w:color w:val="002060"/>
          <w:sz w:val="24"/>
          <w:lang w:val="en-US"/>
        </w:rPr>
      </w:pPr>
      <w:r w:rsidRPr="00625BC2">
        <w:rPr>
          <w:rFonts w:ascii="Times New Roman" w:eastAsia="Calibri" w:hAnsi="Times New Roman"/>
          <w:b w:val="0"/>
          <w:bCs w:val="0"/>
          <w:color w:val="002060"/>
          <w:sz w:val="24"/>
          <w:lang w:val="en-US"/>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p>
    <w:p w14:paraId="6F6D2101" w14:textId="205EC561" w:rsidR="00625BC2" w:rsidRPr="00625BC2" w:rsidRDefault="00625BC2" w:rsidP="00625BC2">
      <w:pPr>
        <w:spacing w:after="120" w:line="276" w:lineRule="auto"/>
        <w:jc w:val="both"/>
        <w:rPr>
          <w:rFonts w:ascii="Times New Roman" w:eastAsiaTheme="majorEastAsia" w:hAnsi="Times New Roman"/>
          <w:b w:val="0"/>
          <w:bCs w:val="0"/>
          <w:color w:val="002060"/>
          <w:sz w:val="24"/>
          <w:lang w:val="en-GB"/>
        </w:rPr>
      </w:pPr>
      <w:bookmarkStart w:id="6" w:name="_Hlk151368639"/>
      <w:bookmarkStart w:id="7" w:name="_Hlk151371058"/>
      <w:r w:rsidRPr="00625BC2">
        <w:rPr>
          <w:rFonts w:ascii="Times New Roman" w:eastAsiaTheme="majorEastAsia" w:hAnsi="Times New Roman"/>
          <w:b w:val="0"/>
          <w:bCs w:val="0"/>
          <w:color w:val="002060"/>
          <w:sz w:val="24"/>
          <w:lang w:val="en-GB"/>
        </w:rPr>
        <w:t>The Consultant will be selected in accordance with the World Bank Procurement Regulations for IPF Borrowers: "Procurement in Investment Project Financing of Goods, Works, Non-Consulting and Consulting Services" (November 2020), using the Quality and Cost-Based Selection (QCBS) method.</w:t>
      </w:r>
    </w:p>
    <w:p w14:paraId="0D6115B4" w14:textId="6F46AE8A" w:rsidR="00BC2C95" w:rsidRPr="00625BC2" w:rsidRDefault="00BC2C95" w:rsidP="00077B09">
      <w:pPr>
        <w:suppressAutoHyphens/>
        <w:spacing w:line="276" w:lineRule="auto"/>
        <w:jc w:val="both"/>
        <w:rPr>
          <w:rFonts w:ascii="Times New Roman" w:hAnsi="Times New Roman"/>
          <w:b w:val="0"/>
          <w:color w:val="002060"/>
          <w:sz w:val="24"/>
        </w:rPr>
      </w:pPr>
      <w:bookmarkStart w:id="8" w:name="_Hlk151368721"/>
      <w:bookmarkEnd w:id="6"/>
      <w:r w:rsidRPr="00625BC2">
        <w:rPr>
          <w:rFonts w:ascii="Times New Roman" w:hAnsi="Times New Roman"/>
          <w:b w:val="0"/>
          <w:color w:val="002060"/>
          <w:spacing w:val="-2"/>
          <w:sz w:val="24"/>
        </w:rPr>
        <w:t xml:space="preserve">Interested Consultants may obtain further information concerning the Terms of Reference at the official website of </w:t>
      </w:r>
      <w:r w:rsidR="00605127" w:rsidRPr="00625BC2">
        <w:rPr>
          <w:rFonts w:ascii="Times New Roman" w:hAnsi="Times New Roman"/>
          <w:b w:val="0"/>
          <w:color w:val="002060"/>
          <w:spacing w:val="-2"/>
          <w:sz w:val="24"/>
        </w:rPr>
        <w:t>MARD</w:t>
      </w:r>
      <w:r w:rsidRPr="00625BC2">
        <w:rPr>
          <w:rFonts w:ascii="Times New Roman" w:hAnsi="Times New Roman"/>
          <w:color w:val="002060"/>
          <w:spacing w:val="-2"/>
          <w:sz w:val="24"/>
        </w:rPr>
        <w:t>:</w:t>
      </w:r>
      <w:r w:rsidRPr="00625BC2">
        <w:rPr>
          <w:rFonts w:ascii="Times New Roman" w:hAnsi="Times New Roman"/>
          <w:i/>
          <w:color w:val="002060"/>
          <w:spacing w:val="-2"/>
          <w:sz w:val="24"/>
        </w:rPr>
        <w:t xml:space="preserve"> </w:t>
      </w:r>
      <w:r w:rsidR="00A33E77" w:rsidRPr="00625BC2">
        <w:rPr>
          <w:rFonts w:ascii="Times New Roman" w:hAnsi="Times New Roman"/>
          <w:b w:val="0"/>
          <w:color w:val="002060"/>
          <w:sz w:val="24"/>
        </w:rPr>
        <w:t>https://bujqesia.gov.al/projekti-qendrueshmeria-ndaj-klimes-dhe-zhvillimit-ne-bujqesi/</w:t>
      </w:r>
      <w:r w:rsidRPr="00625BC2">
        <w:rPr>
          <w:rStyle w:val="Hyperlink"/>
          <w:rFonts w:ascii="Times New Roman" w:hAnsi="Times New Roman"/>
          <w:b w:val="0"/>
          <w:color w:val="002060"/>
          <w:sz w:val="24"/>
          <w:u w:val="none"/>
        </w:rPr>
        <w:t xml:space="preserve">, </w:t>
      </w:r>
      <w:r w:rsidRPr="00625BC2">
        <w:rPr>
          <w:rFonts w:ascii="Times New Roman" w:hAnsi="Times New Roman"/>
          <w:b w:val="0"/>
          <w:color w:val="002060"/>
          <w:sz w:val="24"/>
          <w:shd w:val="clear" w:color="auto" w:fill="FFFFFF"/>
        </w:rPr>
        <w:t xml:space="preserve">or at the address below, </w:t>
      </w:r>
      <w:r w:rsidRPr="00625BC2">
        <w:rPr>
          <w:rFonts w:ascii="Times New Roman" w:hAnsi="Times New Roman"/>
          <w:b w:val="0"/>
          <w:color w:val="002060"/>
          <w:sz w:val="24"/>
        </w:rPr>
        <w:t>during office hours 0</w:t>
      </w:r>
      <w:r w:rsidR="00385977" w:rsidRPr="00625BC2">
        <w:rPr>
          <w:rFonts w:ascii="Times New Roman" w:hAnsi="Times New Roman"/>
          <w:b w:val="0"/>
          <w:color w:val="002060"/>
          <w:sz w:val="24"/>
        </w:rPr>
        <w:t>9</w:t>
      </w:r>
      <w:r w:rsidRPr="00625BC2">
        <w:rPr>
          <w:rFonts w:ascii="Times New Roman" w:hAnsi="Times New Roman"/>
          <w:b w:val="0"/>
          <w:color w:val="002060"/>
          <w:sz w:val="24"/>
        </w:rPr>
        <w:t>:</w:t>
      </w:r>
      <w:r w:rsidR="00385977" w:rsidRPr="00625BC2">
        <w:rPr>
          <w:rFonts w:ascii="Times New Roman" w:hAnsi="Times New Roman"/>
          <w:b w:val="0"/>
          <w:color w:val="002060"/>
          <w:sz w:val="24"/>
        </w:rPr>
        <w:t>0</w:t>
      </w:r>
      <w:r w:rsidRPr="00625BC2">
        <w:rPr>
          <w:rFonts w:ascii="Times New Roman" w:hAnsi="Times New Roman"/>
          <w:b w:val="0"/>
          <w:color w:val="002060"/>
          <w:sz w:val="24"/>
        </w:rPr>
        <w:t>0 to 1</w:t>
      </w:r>
      <w:r w:rsidR="0002568A">
        <w:rPr>
          <w:rFonts w:ascii="Times New Roman" w:hAnsi="Times New Roman"/>
          <w:b w:val="0"/>
          <w:color w:val="002060"/>
          <w:sz w:val="24"/>
        </w:rPr>
        <w:t>5</w:t>
      </w:r>
      <w:r w:rsidRPr="00625BC2">
        <w:rPr>
          <w:rFonts w:ascii="Times New Roman" w:hAnsi="Times New Roman"/>
          <w:b w:val="0"/>
          <w:color w:val="002060"/>
          <w:sz w:val="24"/>
        </w:rPr>
        <w:t>:</w:t>
      </w:r>
      <w:r w:rsidR="00385977" w:rsidRPr="00625BC2">
        <w:rPr>
          <w:rFonts w:ascii="Times New Roman" w:hAnsi="Times New Roman"/>
          <w:b w:val="0"/>
          <w:color w:val="002060"/>
          <w:sz w:val="24"/>
        </w:rPr>
        <w:t>0</w:t>
      </w:r>
      <w:r w:rsidR="003C72DD" w:rsidRPr="00625BC2">
        <w:rPr>
          <w:rFonts w:ascii="Times New Roman" w:hAnsi="Times New Roman"/>
          <w:b w:val="0"/>
          <w:color w:val="002060"/>
          <w:sz w:val="24"/>
        </w:rPr>
        <w:t>0</w:t>
      </w:r>
      <w:r w:rsidRPr="00625BC2">
        <w:rPr>
          <w:rFonts w:ascii="Times New Roman" w:hAnsi="Times New Roman"/>
          <w:b w:val="0"/>
          <w:color w:val="002060"/>
          <w:sz w:val="24"/>
        </w:rPr>
        <w:t xml:space="preserve"> (Monday to Thursday) and 0</w:t>
      </w:r>
      <w:r w:rsidR="00385977" w:rsidRPr="00625BC2">
        <w:rPr>
          <w:rFonts w:ascii="Times New Roman" w:hAnsi="Times New Roman"/>
          <w:b w:val="0"/>
          <w:color w:val="002060"/>
          <w:sz w:val="24"/>
        </w:rPr>
        <w:t>9</w:t>
      </w:r>
      <w:r w:rsidRPr="00625BC2">
        <w:rPr>
          <w:rFonts w:ascii="Times New Roman" w:hAnsi="Times New Roman"/>
          <w:b w:val="0"/>
          <w:color w:val="002060"/>
          <w:sz w:val="24"/>
        </w:rPr>
        <w:t>:00 to 1</w:t>
      </w:r>
      <w:r w:rsidR="00385977" w:rsidRPr="00625BC2">
        <w:rPr>
          <w:rFonts w:ascii="Times New Roman" w:hAnsi="Times New Roman"/>
          <w:b w:val="0"/>
          <w:color w:val="002060"/>
          <w:sz w:val="24"/>
        </w:rPr>
        <w:t>3</w:t>
      </w:r>
      <w:r w:rsidRPr="00625BC2">
        <w:rPr>
          <w:rFonts w:ascii="Times New Roman" w:hAnsi="Times New Roman"/>
          <w:b w:val="0"/>
          <w:color w:val="002060"/>
          <w:sz w:val="24"/>
        </w:rPr>
        <w:t>:00 on Friday.</w:t>
      </w:r>
    </w:p>
    <w:p w14:paraId="074EF561" w14:textId="4FC7BAA0" w:rsidR="00BC2C95" w:rsidRPr="00625BC2" w:rsidRDefault="00BC2C95" w:rsidP="00077B09">
      <w:pPr>
        <w:spacing w:line="276" w:lineRule="auto"/>
        <w:jc w:val="both"/>
        <w:rPr>
          <w:rFonts w:ascii="Times New Roman" w:hAnsi="Times New Roman"/>
          <w:b w:val="0"/>
          <w:color w:val="002060"/>
          <w:spacing w:val="-2"/>
          <w:sz w:val="24"/>
        </w:rPr>
      </w:pPr>
      <w:bookmarkStart w:id="9" w:name="_Hlk151368829"/>
      <w:bookmarkEnd w:id="8"/>
      <w:r w:rsidRPr="00625BC2">
        <w:rPr>
          <w:rFonts w:ascii="Times New Roman" w:hAnsi="Times New Roman"/>
          <w:b w:val="0"/>
          <w:color w:val="002060"/>
          <w:spacing w:val="-2"/>
          <w:sz w:val="24"/>
        </w:rPr>
        <w:t xml:space="preserve">Expressions of Interest (EoI) </w:t>
      </w:r>
      <w:r w:rsidR="00077B09" w:rsidRPr="00625BC2">
        <w:rPr>
          <w:rFonts w:ascii="Times New Roman" w:hAnsi="Times New Roman"/>
          <w:b w:val="0"/>
          <w:color w:val="002060"/>
          <w:spacing w:val="-2"/>
          <w:sz w:val="24"/>
        </w:rPr>
        <w:t xml:space="preserve">in English language </w:t>
      </w:r>
      <w:r w:rsidRPr="00625BC2">
        <w:rPr>
          <w:rFonts w:ascii="Times New Roman" w:hAnsi="Times New Roman"/>
          <w:b w:val="0"/>
          <w:color w:val="002060"/>
          <w:spacing w:val="-2"/>
          <w:sz w:val="24"/>
        </w:rPr>
        <w:t xml:space="preserve">must be delivered no later than </w:t>
      </w:r>
      <w:r w:rsidR="0006517A">
        <w:rPr>
          <w:rFonts w:ascii="Times New Roman" w:hAnsi="Times New Roman"/>
          <w:bCs w:val="0"/>
          <w:color w:val="002060"/>
          <w:spacing w:val="-2"/>
          <w:sz w:val="24"/>
          <w:u w:val="single"/>
        </w:rPr>
        <w:t>June 03</w:t>
      </w:r>
      <w:r w:rsidR="00625BC2" w:rsidRPr="00625BC2">
        <w:rPr>
          <w:rFonts w:ascii="Times New Roman" w:hAnsi="Times New Roman"/>
          <w:bCs w:val="0"/>
          <w:color w:val="002060"/>
          <w:spacing w:val="-2"/>
          <w:sz w:val="24"/>
          <w:u w:val="single"/>
        </w:rPr>
        <w:t>,</w:t>
      </w:r>
      <w:r w:rsidR="00077B09" w:rsidRPr="00625BC2">
        <w:rPr>
          <w:rFonts w:ascii="Times New Roman" w:hAnsi="Times New Roman"/>
          <w:bCs w:val="0"/>
          <w:color w:val="002060"/>
          <w:spacing w:val="-2"/>
          <w:sz w:val="24"/>
          <w:u w:val="single"/>
        </w:rPr>
        <w:t xml:space="preserve"> 202</w:t>
      </w:r>
      <w:r w:rsidR="0006517A">
        <w:rPr>
          <w:rFonts w:ascii="Times New Roman" w:hAnsi="Times New Roman"/>
          <w:bCs w:val="0"/>
          <w:color w:val="002060"/>
          <w:spacing w:val="-2"/>
          <w:sz w:val="24"/>
          <w:u w:val="single"/>
        </w:rPr>
        <w:t>6</w:t>
      </w:r>
      <w:r w:rsidRPr="00625BC2">
        <w:rPr>
          <w:rFonts w:ascii="Times New Roman" w:hAnsi="Times New Roman"/>
          <w:b w:val="0"/>
          <w:color w:val="002060"/>
          <w:spacing w:val="-2"/>
          <w:sz w:val="24"/>
        </w:rPr>
        <w:t xml:space="preserve"> hardcopy </w:t>
      </w:r>
      <w:r w:rsidRPr="00625BC2">
        <w:rPr>
          <w:rFonts w:ascii="Times New Roman" w:hAnsi="Times New Roman"/>
          <w:b w:val="0"/>
          <w:color w:val="002060"/>
          <w:sz w:val="24"/>
        </w:rPr>
        <w:t>(in person or by mail)</w:t>
      </w:r>
      <w:r w:rsidRPr="00625BC2">
        <w:rPr>
          <w:rStyle w:val="apple-converted-space"/>
          <w:rFonts w:ascii="Times New Roman" w:hAnsi="Times New Roman"/>
          <w:b w:val="0"/>
          <w:color w:val="002060"/>
          <w:sz w:val="24"/>
        </w:rPr>
        <w:t xml:space="preserve"> </w:t>
      </w:r>
      <w:r w:rsidRPr="00625BC2">
        <w:rPr>
          <w:rFonts w:ascii="Times New Roman" w:hAnsi="Times New Roman"/>
          <w:b w:val="0"/>
          <w:color w:val="002060"/>
          <w:spacing w:val="-2"/>
          <w:sz w:val="24"/>
        </w:rPr>
        <w:t xml:space="preserve">to the address below, within </w:t>
      </w:r>
      <w:r w:rsidRPr="00625BC2">
        <w:rPr>
          <w:rFonts w:ascii="Times New Roman" w:hAnsi="Times New Roman"/>
          <w:b w:val="0"/>
          <w:color w:val="002060"/>
          <w:sz w:val="24"/>
        </w:rPr>
        <w:t xml:space="preserve">office hours, </w:t>
      </w:r>
      <w:r w:rsidRPr="00625BC2">
        <w:rPr>
          <w:rFonts w:ascii="Times New Roman" w:hAnsi="Times New Roman"/>
          <w:b w:val="0"/>
          <w:color w:val="002060"/>
          <w:spacing w:val="-2"/>
          <w:sz w:val="24"/>
        </w:rPr>
        <w:t>and</w:t>
      </w:r>
      <w:r w:rsidR="00EB5AB3" w:rsidRPr="00625BC2">
        <w:rPr>
          <w:rFonts w:ascii="Times New Roman" w:hAnsi="Times New Roman"/>
          <w:b w:val="0"/>
          <w:color w:val="002060"/>
          <w:spacing w:val="-2"/>
          <w:sz w:val="24"/>
        </w:rPr>
        <w:t>/or</w:t>
      </w:r>
      <w:r w:rsidRPr="00625BC2">
        <w:rPr>
          <w:rFonts w:ascii="Times New Roman" w:hAnsi="Times New Roman"/>
          <w:b w:val="0"/>
          <w:color w:val="002060"/>
          <w:spacing w:val="-2"/>
          <w:sz w:val="24"/>
        </w:rPr>
        <w:t xml:space="preserve"> electronically at the </w:t>
      </w:r>
      <w:r w:rsidR="00EB5AB3" w:rsidRPr="00625BC2">
        <w:rPr>
          <w:rFonts w:ascii="Times New Roman" w:hAnsi="Times New Roman"/>
          <w:b w:val="0"/>
          <w:color w:val="002060"/>
          <w:spacing w:val="-2"/>
          <w:sz w:val="24"/>
        </w:rPr>
        <w:t>below</w:t>
      </w:r>
      <w:r w:rsidRPr="00625BC2">
        <w:rPr>
          <w:rFonts w:ascii="Times New Roman" w:hAnsi="Times New Roman"/>
          <w:b w:val="0"/>
          <w:color w:val="002060"/>
          <w:spacing w:val="-2"/>
          <w:sz w:val="24"/>
        </w:rPr>
        <w:t xml:space="preserve"> e-mail address. </w:t>
      </w:r>
    </w:p>
    <w:bookmarkEnd w:id="7"/>
    <w:bookmarkEnd w:id="9"/>
    <w:p w14:paraId="7B284E1F" w14:textId="77777777" w:rsidR="00BC2C95" w:rsidRPr="00625BC2" w:rsidRDefault="00BC2C95" w:rsidP="00077B09">
      <w:pPr>
        <w:spacing w:line="276" w:lineRule="auto"/>
        <w:jc w:val="both"/>
        <w:rPr>
          <w:rFonts w:ascii="Times New Roman" w:hAnsi="Times New Roman"/>
          <w:b w:val="0"/>
          <w:color w:val="002060"/>
          <w:spacing w:val="-2"/>
          <w:sz w:val="24"/>
        </w:rPr>
      </w:pPr>
    </w:p>
    <w:p w14:paraId="5449EAD4" w14:textId="77777777" w:rsidR="00605127" w:rsidRPr="00625BC2" w:rsidRDefault="00605127" w:rsidP="00077B09">
      <w:pPr>
        <w:spacing w:line="276" w:lineRule="auto"/>
        <w:rPr>
          <w:rFonts w:ascii="Times New Roman" w:hAnsi="Times New Roman"/>
          <w:color w:val="002060"/>
          <w:sz w:val="24"/>
        </w:rPr>
      </w:pPr>
      <w:r w:rsidRPr="00625BC2">
        <w:rPr>
          <w:rFonts w:ascii="Times New Roman" w:hAnsi="Times New Roman"/>
          <w:color w:val="002060"/>
          <w:sz w:val="24"/>
          <w:shd w:val="clear" w:color="auto" w:fill="FFFFFF"/>
        </w:rPr>
        <w:t xml:space="preserve">Ministry of Agriculture and Rural Development </w:t>
      </w:r>
    </w:p>
    <w:p w14:paraId="32C2B2B0" w14:textId="77777777" w:rsidR="00605127" w:rsidRPr="00625BC2" w:rsidRDefault="00605127" w:rsidP="00077B09">
      <w:pPr>
        <w:spacing w:line="276" w:lineRule="auto"/>
        <w:jc w:val="both"/>
        <w:rPr>
          <w:rFonts w:ascii="Times New Roman" w:hAnsi="Times New Roman"/>
          <w:b w:val="0"/>
          <w:bCs w:val="0"/>
          <w:color w:val="002060"/>
          <w:sz w:val="24"/>
          <w:shd w:val="clear" w:color="auto" w:fill="FFFFFF"/>
        </w:rPr>
      </w:pPr>
      <w:r w:rsidRPr="00625BC2">
        <w:rPr>
          <w:rFonts w:ascii="Times New Roman" w:hAnsi="Times New Roman"/>
          <w:color w:val="002060"/>
          <w:sz w:val="24"/>
          <w:shd w:val="clear" w:color="auto" w:fill="FFFFFF"/>
        </w:rPr>
        <w:t>Adr: Blv. "Dëshmorët e Kombit", Nr. 2, 1001, Tirana, Albania</w:t>
      </w:r>
    </w:p>
    <w:p w14:paraId="724DE473" w14:textId="177626C2" w:rsidR="00605127" w:rsidRPr="00625BC2" w:rsidRDefault="00605127" w:rsidP="00077B09">
      <w:pPr>
        <w:spacing w:line="276" w:lineRule="auto"/>
        <w:jc w:val="both"/>
        <w:rPr>
          <w:rFonts w:ascii="Times New Roman" w:hAnsi="Times New Roman"/>
          <w:color w:val="002060"/>
          <w:sz w:val="24"/>
        </w:rPr>
      </w:pPr>
      <w:r w:rsidRPr="00625BC2">
        <w:rPr>
          <w:rFonts w:ascii="Times New Roman" w:hAnsi="Times New Roman"/>
          <w:color w:val="002060"/>
          <w:sz w:val="24"/>
          <w:shd w:val="clear" w:color="auto" w:fill="FFFFFF"/>
        </w:rPr>
        <w:t xml:space="preserve">E-mail: </w:t>
      </w:r>
      <w:hyperlink r:id="rId8" w:history="1">
        <w:r w:rsidR="00077B09" w:rsidRPr="00625BC2">
          <w:rPr>
            <w:rStyle w:val="Hyperlink"/>
            <w:rFonts w:ascii="Times New Roman" w:hAnsi="Times New Roman"/>
            <w:color w:val="002060"/>
            <w:sz w:val="24"/>
          </w:rPr>
          <w:t>arben.molla@bujqesia.gov.al</w:t>
        </w:r>
      </w:hyperlink>
    </w:p>
    <w:p w14:paraId="3141F9CD" w14:textId="77777777" w:rsidR="00492132" w:rsidRPr="00625BC2" w:rsidRDefault="00492132" w:rsidP="00077B09">
      <w:pPr>
        <w:shd w:val="clear" w:color="auto" w:fill="FFFFFF"/>
        <w:spacing w:line="276" w:lineRule="auto"/>
        <w:jc w:val="both"/>
        <w:rPr>
          <w:rFonts w:ascii="Times New Roman" w:hAnsi="Times New Roman"/>
          <w:color w:val="002060"/>
          <w:spacing w:val="-2"/>
          <w:sz w:val="24"/>
        </w:rPr>
      </w:pPr>
    </w:p>
    <w:p w14:paraId="4B190836" w14:textId="5612382F" w:rsidR="00605127" w:rsidRPr="00625BC2" w:rsidRDefault="00605127" w:rsidP="00077B09">
      <w:pPr>
        <w:shd w:val="clear" w:color="auto" w:fill="FFFFFF"/>
        <w:spacing w:line="276" w:lineRule="auto"/>
        <w:jc w:val="both"/>
        <w:rPr>
          <w:rFonts w:ascii="Times New Roman" w:hAnsi="Times New Roman"/>
          <w:color w:val="002060"/>
          <w:sz w:val="24"/>
          <w:lang w:val="en-US"/>
        </w:rPr>
      </w:pPr>
      <w:r w:rsidRPr="00625BC2">
        <w:rPr>
          <w:rFonts w:ascii="Times New Roman" w:hAnsi="Times New Roman"/>
          <w:color w:val="002060"/>
          <w:spacing w:val="-2"/>
          <w:sz w:val="24"/>
        </w:rPr>
        <w:t>Attn:</w:t>
      </w:r>
      <w:r w:rsidRPr="00625BC2">
        <w:rPr>
          <w:rFonts w:ascii="Times New Roman" w:hAnsi="Times New Roman"/>
          <w:color w:val="002060"/>
          <w:spacing w:val="-2"/>
          <w:sz w:val="24"/>
        </w:rPr>
        <w:tab/>
      </w:r>
      <w:r w:rsidRPr="00625BC2">
        <w:rPr>
          <w:rFonts w:ascii="Times New Roman" w:hAnsi="Times New Roman"/>
          <w:color w:val="002060"/>
          <w:sz w:val="24"/>
          <w:lang w:val="en-US"/>
        </w:rPr>
        <w:t xml:space="preserve">Mr. </w:t>
      </w:r>
      <w:r w:rsidR="00077B09" w:rsidRPr="00625BC2">
        <w:rPr>
          <w:rFonts w:ascii="Times New Roman" w:hAnsi="Times New Roman"/>
          <w:color w:val="002060"/>
          <w:sz w:val="24"/>
          <w:lang w:val="en-US"/>
        </w:rPr>
        <w:t>Arben Molla</w:t>
      </w:r>
    </w:p>
    <w:p w14:paraId="40653FEC" w14:textId="07FE64E8" w:rsidR="000076B1" w:rsidRPr="00625BC2" w:rsidRDefault="00077B09" w:rsidP="00077B09">
      <w:pPr>
        <w:shd w:val="clear" w:color="auto" w:fill="FFFFFF"/>
        <w:spacing w:line="276" w:lineRule="auto"/>
        <w:ind w:firstLine="720"/>
        <w:jc w:val="both"/>
        <w:rPr>
          <w:rFonts w:ascii="Times New Roman" w:hAnsi="Times New Roman"/>
          <w:b w:val="0"/>
          <w:bCs w:val="0"/>
          <w:color w:val="002060"/>
          <w:sz w:val="24"/>
        </w:rPr>
      </w:pPr>
      <w:r w:rsidRPr="00625BC2">
        <w:rPr>
          <w:rFonts w:ascii="Times New Roman" w:hAnsi="Times New Roman"/>
          <w:color w:val="002060"/>
          <w:sz w:val="24"/>
        </w:rPr>
        <w:t>Project Manager</w:t>
      </w:r>
    </w:p>
    <w:p w14:paraId="73201317" w14:textId="30894C12" w:rsidR="000076B1" w:rsidRPr="00625BC2" w:rsidRDefault="000076B1" w:rsidP="00077B09">
      <w:pPr>
        <w:shd w:val="clear" w:color="auto" w:fill="FFFFFF"/>
        <w:spacing w:line="276" w:lineRule="auto"/>
        <w:ind w:firstLine="720"/>
        <w:jc w:val="both"/>
        <w:rPr>
          <w:rFonts w:ascii="Times New Roman" w:hAnsi="Times New Roman"/>
          <w:b w:val="0"/>
          <w:bCs w:val="0"/>
          <w:color w:val="002060"/>
          <w:sz w:val="24"/>
        </w:rPr>
      </w:pPr>
    </w:p>
    <w:p w14:paraId="1E382BFA" w14:textId="6BFBDCB3" w:rsidR="000076B1" w:rsidRPr="00625BC2" w:rsidRDefault="000076B1" w:rsidP="00077B09">
      <w:pPr>
        <w:shd w:val="clear" w:color="auto" w:fill="FFFFFF"/>
        <w:spacing w:line="276" w:lineRule="auto"/>
        <w:ind w:firstLine="720"/>
        <w:jc w:val="both"/>
        <w:rPr>
          <w:rFonts w:ascii="Times New Roman" w:hAnsi="Times New Roman"/>
          <w:b w:val="0"/>
          <w:bCs w:val="0"/>
          <w:color w:val="002060"/>
          <w:sz w:val="24"/>
        </w:rPr>
      </w:pPr>
    </w:p>
    <w:sectPr w:rsidR="000076B1" w:rsidRPr="00625BC2" w:rsidSect="0032222C">
      <w:footerReference w:type="default" r:id="rId9"/>
      <w:pgSz w:w="11906" w:h="16838" w:code="9"/>
      <w:pgMar w:top="1152" w:right="1440" w:bottom="1152" w:left="1440" w:header="720"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681A" w14:textId="77777777" w:rsidR="00502A4C" w:rsidRDefault="00502A4C" w:rsidP="004D4E59">
      <w:r>
        <w:separator/>
      </w:r>
    </w:p>
  </w:endnote>
  <w:endnote w:type="continuationSeparator" w:id="0">
    <w:p w14:paraId="21AF80B5" w14:textId="77777777" w:rsidR="00502A4C" w:rsidRDefault="00502A4C"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Titre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9822" w14:textId="77777777" w:rsidR="008C7641" w:rsidRPr="004374EE" w:rsidRDefault="008C7641" w:rsidP="008C7641">
    <w:pPr>
      <w:pStyle w:val="Footer"/>
      <w:pBdr>
        <w:top w:val="thinThickSmallGap" w:sz="24" w:space="1" w:color="622423"/>
      </w:pBdr>
      <w:rPr>
        <w:rFonts w:ascii="Times New Roman" w:hAnsi="Times New Roman"/>
        <w:b w:val="0"/>
        <w:sz w:val="18"/>
        <w:szCs w:val="18"/>
        <w:lang w:val="it-IT"/>
      </w:rPr>
    </w:pPr>
    <w:r w:rsidRPr="004374EE">
      <w:rPr>
        <w:rFonts w:ascii="Times New Roman" w:hAnsi="Times New Roman"/>
        <w:b w:val="0"/>
        <w:sz w:val="18"/>
        <w:szCs w:val="18"/>
        <w:lang w:val="it-IT"/>
      </w:rPr>
      <w:t xml:space="preserve">Adresa: Bulevardi “Dëshmorët e Kombit”, Nr2, Tiranë                                    </w:t>
    </w:r>
    <w:r w:rsidR="004374EE">
      <w:rPr>
        <w:rFonts w:ascii="Times New Roman" w:hAnsi="Times New Roman"/>
        <w:b w:val="0"/>
        <w:sz w:val="18"/>
        <w:szCs w:val="18"/>
        <w:lang w:val="it-IT"/>
      </w:rPr>
      <w:t xml:space="preserve">                                    </w:t>
    </w:r>
    <w:r w:rsidRPr="004374EE">
      <w:rPr>
        <w:rFonts w:ascii="Times New Roman" w:hAnsi="Times New Roman"/>
        <w:b w:val="0"/>
        <w:sz w:val="18"/>
        <w:szCs w:val="18"/>
        <w:lang w:val="it-IT"/>
      </w:rPr>
      <w:t xml:space="preserve">Tel/Fax  +355 42223917 </w:t>
    </w:r>
  </w:p>
  <w:p w14:paraId="179429F8" w14:textId="77777777" w:rsidR="00973815" w:rsidRDefault="0097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3EF6" w14:textId="77777777" w:rsidR="00502A4C" w:rsidRDefault="00502A4C" w:rsidP="004D4E59">
      <w:r>
        <w:separator/>
      </w:r>
    </w:p>
  </w:footnote>
  <w:footnote w:type="continuationSeparator" w:id="0">
    <w:p w14:paraId="6BC16007" w14:textId="77777777" w:rsidR="00502A4C" w:rsidRDefault="00502A4C"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7505"/>
    <w:multiLevelType w:val="multilevel"/>
    <w:tmpl w:val="26F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35502"/>
    <w:multiLevelType w:val="hybridMultilevel"/>
    <w:tmpl w:val="A6F20C78"/>
    <w:lvl w:ilvl="0" w:tplc="0CFC80F6">
      <w:start w:val="1"/>
      <w:numFmt w:val="lowerLetter"/>
      <w:lvlText w:val="(%1)"/>
      <w:lvlJc w:val="left"/>
      <w:pPr>
        <w:ind w:left="997" w:hanging="450"/>
      </w:pPr>
      <w:rPr>
        <w:rFonts w:cs="Times New Roman" w:hint="default"/>
        <w:b w:val="0"/>
        <w:bCs w:val="0"/>
        <w:i w:val="0"/>
        <w:iCs w:val="0"/>
      </w:rPr>
    </w:lvl>
    <w:lvl w:ilvl="1" w:tplc="04090003">
      <w:start w:val="1"/>
      <w:numFmt w:val="lowerLetter"/>
      <w:lvlText w:val="%2."/>
      <w:lvlJc w:val="left"/>
      <w:pPr>
        <w:ind w:left="1627" w:hanging="360"/>
      </w:pPr>
      <w:rPr>
        <w:rFonts w:cs="Times New Roman"/>
      </w:rPr>
    </w:lvl>
    <w:lvl w:ilvl="2" w:tplc="04090005">
      <w:start w:val="1"/>
      <w:numFmt w:val="lowerRoman"/>
      <w:lvlText w:val="%3."/>
      <w:lvlJc w:val="right"/>
      <w:pPr>
        <w:ind w:left="2347" w:hanging="180"/>
      </w:pPr>
      <w:rPr>
        <w:rFonts w:cs="Times New Roman"/>
      </w:rPr>
    </w:lvl>
    <w:lvl w:ilvl="3" w:tplc="04090001">
      <w:start w:val="1"/>
      <w:numFmt w:val="decimal"/>
      <w:lvlText w:val="%4."/>
      <w:lvlJc w:val="left"/>
      <w:pPr>
        <w:ind w:left="3067" w:hanging="360"/>
      </w:pPr>
      <w:rPr>
        <w:rFonts w:cs="Times New Roman"/>
      </w:rPr>
    </w:lvl>
    <w:lvl w:ilvl="4" w:tplc="04090003">
      <w:start w:val="1"/>
      <w:numFmt w:val="lowerLetter"/>
      <w:lvlText w:val="%5."/>
      <w:lvlJc w:val="left"/>
      <w:pPr>
        <w:ind w:left="3787" w:hanging="360"/>
      </w:pPr>
      <w:rPr>
        <w:rFonts w:cs="Times New Roman"/>
      </w:rPr>
    </w:lvl>
    <w:lvl w:ilvl="5" w:tplc="04090005">
      <w:start w:val="1"/>
      <w:numFmt w:val="lowerRoman"/>
      <w:lvlText w:val="%6."/>
      <w:lvlJc w:val="right"/>
      <w:pPr>
        <w:ind w:left="4507" w:hanging="180"/>
      </w:pPr>
      <w:rPr>
        <w:rFonts w:cs="Times New Roman"/>
      </w:rPr>
    </w:lvl>
    <w:lvl w:ilvl="6" w:tplc="04090001">
      <w:start w:val="1"/>
      <w:numFmt w:val="decimal"/>
      <w:lvlText w:val="%7."/>
      <w:lvlJc w:val="left"/>
      <w:pPr>
        <w:ind w:left="5227" w:hanging="360"/>
      </w:pPr>
      <w:rPr>
        <w:rFonts w:cs="Times New Roman"/>
      </w:rPr>
    </w:lvl>
    <w:lvl w:ilvl="7" w:tplc="04090003">
      <w:start w:val="1"/>
      <w:numFmt w:val="lowerLetter"/>
      <w:lvlText w:val="%8."/>
      <w:lvlJc w:val="left"/>
      <w:pPr>
        <w:ind w:left="5947" w:hanging="360"/>
      </w:pPr>
      <w:rPr>
        <w:rFonts w:cs="Times New Roman"/>
      </w:rPr>
    </w:lvl>
    <w:lvl w:ilvl="8" w:tplc="04090005">
      <w:start w:val="1"/>
      <w:numFmt w:val="lowerRoman"/>
      <w:lvlText w:val="%9."/>
      <w:lvlJc w:val="right"/>
      <w:pPr>
        <w:ind w:left="6667" w:hanging="180"/>
      </w:pPr>
      <w:rPr>
        <w:rFonts w:cs="Times New Roman"/>
      </w:rPr>
    </w:lvl>
  </w:abstractNum>
  <w:abstractNum w:abstractNumId="2" w15:restartNumberingAfterBreak="0">
    <w:nsid w:val="2B267E4A"/>
    <w:multiLevelType w:val="multilevel"/>
    <w:tmpl w:val="6A82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13695"/>
    <w:multiLevelType w:val="multilevel"/>
    <w:tmpl w:val="4FE0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271E8"/>
    <w:multiLevelType w:val="multilevel"/>
    <w:tmpl w:val="56A44E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342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32AC2A61"/>
    <w:multiLevelType w:val="multilevel"/>
    <w:tmpl w:val="FC3A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A38BF"/>
    <w:multiLevelType w:val="multilevel"/>
    <w:tmpl w:val="8D9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86DDD"/>
    <w:multiLevelType w:val="multilevel"/>
    <w:tmpl w:val="055E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422EC"/>
    <w:multiLevelType w:val="hybridMultilevel"/>
    <w:tmpl w:val="2F5AE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853CE9"/>
    <w:multiLevelType w:val="multilevel"/>
    <w:tmpl w:val="EF9A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A238C4"/>
    <w:multiLevelType w:val="multilevel"/>
    <w:tmpl w:val="E92E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7D285C"/>
    <w:multiLevelType w:val="multilevel"/>
    <w:tmpl w:val="16D2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56343"/>
    <w:multiLevelType w:val="multilevel"/>
    <w:tmpl w:val="8E4C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97143"/>
    <w:multiLevelType w:val="multilevel"/>
    <w:tmpl w:val="E54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04EA2"/>
    <w:multiLevelType w:val="hybridMultilevel"/>
    <w:tmpl w:val="D224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abstractNum w:abstractNumId="16" w15:restartNumberingAfterBreak="0">
    <w:nsid w:val="6F7650E9"/>
    <w:multiLevelType w:val="multilevel"/>
    <w:tmpl w:val="743C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C3B9F"/>
    <w:multiLevelType w:val="multilevel"/>
    <w:tmpl w:val="EA7ACF9A"/>
    <w:lvl w:ilvl="0">
      <w:start w:val="6"/>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16cid:durableId="5500448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482498">
    <w:abstractNumId w:val="4"/>
  </w:num>
  <w:num w:numId="3" w16cid:durableId="1344161276">
    <w:abstractNumId w:val="8"/>
  </w:num>
  <w:num w:numId="4" w16cid:durableId="1827551024">
    <w:abstractNumId w:val="16"/>
  </w:num>
  <w:num w:numId="5" w16cid:durableId="1526552755">
    <w:abstractNumId w:val="13"/>
  </w:num>
  <w:num w:numId="6" w16cid:durableId="750005804">
    <w:abstractNumId w:val="14"/>
  </w:num>
  <w:num w:numId="7" w16cid:durableId="1615792941">
    <w:abstractNumId w:val="1"/>
  </w:num>
  <w:num w:numId="8" w16cid:durableId="206256365">
    <w:abstractNumId w:val="9"/>
  </w:num>
  <w:num w:numId="9" w16cid:durableId="1453551321">
    <w:abstractNumId w:val="0"/>
  </w:num>
  <w:num w:numId="10" w16cid:durableId="261957525">
    <w:abstractNumId w:val="7"/>
  </w:num>
  <w:num w:numId="11" w16cid:durableId="404884732">
    <w:abstractNumId w:val="3"/>
  </w:num>
  <w:num w:numId="12" w16cid:durableId="328681868">
    <w:abstractNumId w:val="11"/>
  </w:num>
  <w:num w:numId="13" w16cid:durableId="1158573384">
    <w:abstractNumId w:val="6"/>
  </w:num>
  <w:num w:numId="14" w16cid:durableId="805007489">
    <w:abstractNumId w:val="5"/>
  </w:num>
  <w:num w:numId="15" w16cid:durableId="666444574">
    <w:abstractNumId w:val="12"/>
  </w:num>
  <w:num w:numId="16" w16cid:durableId="2038501366">
    <w:abstractNumId w:val="17"/>
  </w:num>
  <w:num w:numId="17" w16cid:durableId="1301495955">
    <w:abstractNumId w:val="10"/>
  </w:num>
  <w:num w:numId="18" w16cid:durableId="20122465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2231"/>
    <w:rsid w:val="000066FE"/>
    <w:rsid w:val="000076B1"/>
    <w:rsid w:val="0001396D"/>
    <w:rsid w:val="000178EE"/>
    <w:rsid w:val="00022BD7"/>
    <w:rsid w:val="0002568A"/>
    <w:rsid w:val="00025987"/>
    <w:rsid w:val="00027B05"/>
    <w:rsid w:val="00035F3D"/>
    <w:rsid w:val="000406D5"/>
    <w:rsid w:val="00051DE1"/>
    <w:rsid w:val="0005252D"/>
    <w:rsid w:val="00060F9B"/>
    <w:rsid w:val="000613AD"/>
    <w:rsid w:val="00061A89"/>
    <w:rsid w:val="0006517A"/>
    <w:rsid w:val="00073004"/>
    <w:rsid w:val="000747E3"/>
    <w:rsid w:val="00077B09"/>
    <w:rsid w:val="00081D6A"/>
    <w:rsid w:val="00084BD7"/>
    <w:rsid w:val="00084CBE"/>
    <w:rsid w:val="00084DBD"/>
    <w:rsid w:val="00091C62"/>
    <w:rsid w:val="000A076A"/>
    <w:rsid w:val="000A2FA8"/>
    <w:rsid w:val="000A525F"/>
    <w:rsid w:val="000A6AF9"/>
    <w:rsid w:val="000B3458"/>
    <w:rsid w:val="000B5457"/>
    <w:rsid w:val="000D3307"/>
    <w:rsid w:val="000D7D7C"/>
    <w:rsid w:val="000E0FFF"/>
    <w:rsid w:val="000E1664"/>
    <w:rsid w:val="000E32F8"/>
    <w:rsid w:val="000E60A8"/>
    <w:rsid w:val="000F3500"/>
    <w:rsid w:val="000F48E9"/>
    <w:rsid w:val="000F51B3"/>
    <w:rsid w:val="000F7344"/>
    <w:rsid w:val="000F741B"/>
    <w:rsid w:val="001001E6"/>
    <w:rsid w:val="001005FB"/>
    <w:rsid w:val="00101951"/>
    <w:rsid w:val="00104D72"/>
    <w:rsid w:val="00105EBC"/>
    <w:rsid w:val="00107B6B"/>
    <w:rsid w:val="00110A23"/>
    <w:rsid w:val="00122888"/>
    <w:rsid w:val="00130E23"/>
    <w:rsid w:val="00131475"/>
    <w:rsid w:val="001432BA"/>
    <w:rsid w:val="00163755"/>
    <w:rsid w:val="001824C1"/>
    <w:rsid w:val="00184264"/>
    <w:rsid w:val="0018438B"/>
    <w:rsid w:val="0018491A"/>
    <w:rsid w:val="001850C6"/>
    <w:rsid w:val="00192BDB"/>
    <w:rsid w:val="00193CDB"/>
    <w:rsid w:val="00194586"/>
    <w:rsid w:val="00195B3F"/>
    <w:rsid w:val="001A706E"/>
    <w:rsid w:val="001B7722"/>
    <w:rsid w:val="001C4086"/>
    <w:rsid w:val="001C7DAF"/>
    <w:rsid w:val="001E36FC"/>
    <w:rsid w:val="001F4DA3"/>
    <w:rsid w:val="00200406"/>
    <w:rsid w:val="002034F3"/>
    <w:rsid w:val="002164C8"/>
    <w:rsid w:val="002232B8"/>
    <w:rsid w:val="00231B00"/>
    <w:rsid w:val="002404DA"/>
    <w:rsid w:val="00242515"/>
    <w:rsid w:val="002429C9"/>
    <w:rsid w:val="00255A2E"/>
    <w:rsid w:val="0025752E"/>
    <w:rsid w:val="00262887"/>
    <w:rsid w:val="002666A9"/>
    <w:rsid w:val="00270678"/>
    <w:rsid w:val="00271455"/>
    <w:rsid w:val="002857C4"/>
    <w:rsid w:val="002A3B48"/>
    <w:rsid w:val="002A3CBA"/>
    <w:rsid w:val="002A7876"/>
    <w:rsid w:val="002B2F2C"/>
    <w:rsid w:val="002B5C33"/>
    <w:rsid w:val="002C26B6"/>
    <w:rsid w:val="002D568A"/>
    <w:rsid w:val="002E2F12"/>
    <w:rsid w:val="002F4622"/>
    <w:rsid w:val="002F75C6"/>
    <w:rsid w:val="0030215E"/>
    <w:rsid w:val="00306037"/>
    <w:rsid w:val="00320808"/>
    <w:rsid w:val="0032222C"/>
    <w:rsid w:val="00322324"/>
    <w:rsid w:val="00326C34"/>
    <w:rsid w:val="003275F9"/>
    <w:rsid w:val="0032770C"/>
    <w:rsid w:val="003340AA"/>
    <w:rsid w:val="0033431E"/>
    <w:rsid w:val="00337605"/>
    <w:rsid w:val="0034586E"/>
    <w:rsid w:val="00351A3E"/>
    <w:rsid w:val="00356693"/>
    <w:rsid w:val="00364EEE"/>
    <w:rsid w:val="0036533A"/>
    <w:rsid w:val="00365DE2"/>
    <w:rsid w:val="00367F18"/>
    <w:rsid w:val="00385977"/>
    <w:rsid w:val="00390FF8"/>
    <w:rsid w:val="003A0AED"/>
    <w:rsid w:val="003A14BE"/>
    <w:rsid w:val="003A4C86"/>
    <w:rsid w:val="003B136C"/>
    <w:rsid w:val="003C2F48"/>
    <w:rsid w:val="003C72DD"/>
    <w:rsid w:val="003D118F"/>
    <w:rsid w:val="003D5021"/>
    <w:rsid w:val="003D7289"/>
    <w:rsid w:val="003E08C9"/>
    <w:rsid w:val="003F1D00"/>
    <w:rsid w:val="003F2BAB"/>
    <w:rsid w:val="0040556A"/>
    <w:rsid w:val="004064B4"/>
    <w:rsid w:val="0041029A"/>
    <w:rsid w:val="00415472"/>
    <w:rsid w:val="00416013"/>
    <w:rsid w:val="00423B05"/>
    <w:rsid w:val="00425B55"/>
    <w:rsid w:val="00432CEE"/>
    <w:rsid w:val="0043374A"/>
    <w:rsid w:val="00433754"/>
    <w:rsid w:val="004374EE"/>
    <w:rsid w:val="00442789"/>
    <w:rsid w:val="00443851"/>
    <w:rsid w:val="00451C82"/>
    <w:rsid w:val="00453829"/>
    <w:rsid w:val="00462F6A"/>
    <w:rsid w:val="004804B3"/>
    <w:rsid w:val="00484ADA"/>
    <w:rsid w:val="00484BC0"/>
    <w:rsid w:val="00485B96"/>
    <w:rsid w:val="00491D41"/>
    <w:rsid w:val="00492132"/>
    <w:rsid w:val="004A218C"/>
    <w:rsid w:val="004A5DCC"/>
    <w:rsid w:val="004B0282"/>
    <w:rsid w:val="004B0E45"/>
    <w:rsid w:val="004B2271"/>
    <w:rsid w:val="004B3849"/>
    <w:rsid w:val="004B623B"/>
    <w:rsid w:val="004C12CD"/>
    <w:rsid w:val="004C595C"/>
    <w:rsid w:val="004C656F"/>
    <w:rsid w:val="004C6E2B"/>
    <w:rsid w:val="004D4E59"/>
    <w:rsid w:val="004E1CC5"/>
    <w:rsid w:val="004E5E1C"/>
    <w:rsid w:val="00501ACA"/>
    <w:rsid w:val="00502415"/>
    <w:rsid w:val="00502A4C"/>
    <w:rsid w:val="00505D9E"/>
    <w:rsid w:val="00507827"/>
    <w:rsid w:val="00515F6A"/>
    <w:rsid w:val="005348AD"/>
    <w:rsid w:val="00542073"/>
    <w:rsid w:val="00547F48"/>
    <w:rsid w:val="00551DAB"/>
    <w:rsid w:val="0056251B"/>
    <w:rsid w:val="0056543B"/>
    <w:rsid w:val="00580DA0"/>
    <w:rsid w:val="0059325C"/>
    <w:rsid w:val="005967DB"/>
    <w:rsid w:val="005970ED"/>
    <w:rsid w:val="005A5EF5"/>
    <w:rsid w:val="005B6EC1"/>
    <w:rsid w:val="005C2AC0"/>
    <w:rsid w:val="005C2FF6"/>
    <w:rsid w:val="005C66D5"/>
    <w:rsid w:val="005D111E"/>
    <w:rsid w:val="005E236D"/>
    <w:rsid w:val="005E2A34"/>
    <w:rsid w:val="005E5A9F"/>
    <w:rsid w:val="005E5E58"/>
    <w:rsid w:val="005F770E"/>
    <w:rsid w:val="00605127"/>
    <w:rsid w:val="00610202"/>
    <w:rsid w:val="006151F9"/>
    <w:rsid w:val="00620DE1"/>
    <w:rsid w:val="00623347"/>
    <w:rsid w:val="00623C85"/>
    <w:rsid w:val="00625BC2"/>
    <w:rsid w:val="00631FBA"/>
    <w:rsid w:val="006349D0"/>
    <w:rsid w:val="00637611"/>
    <w:rsid w:val="00637CF6"/>
    <w:rsid w:val="00640B77"/>
    <w:rsid w:val="00642180"/>
    <w:rsid w:val="006422CD"/>
    <w:rsid w:val="00642DDC"/>
    <w:rsid w:val="00642F26"/>
    <w:rsid w:val="00666B42"/>
    <w:rsid w:val="00666E40"/>
    <w:rsid w:val="006754FC"/>
    <w:rsid w:val="00676CD4"/>
    <w:rsid w:val="006811CA"/>
    <w:rsid w:val="00682484"/>
    <w:rsid w:val="006833AF"/>
    <w:rsid w:val="006862B3"/>
    <w:rsid w:val="00690F2D"/>
    <w:rsid w:val="006928FD"/>
    <w:rsid w:val="006A0301"/>
    <w:rsid w:val="006B0048"/>
    <w:rsid w:val="006B4C74"/>
    <w:rsid w:val="006C1F96"/>
    <w:rsid w:val="006C4D50"/>
    <w:rsid w:val="006C605F"/>
    <w:rsid w:val="006E000F"/>
    <w:rsid w:val="006F16A3"/>
    <w:rsid w:val="006F2CAA"/>
    <w:rsid w:val="006F594A"/>
    <w:rsid w:val="0070767C"/>
    <w:rsid w:val="007105A1"/>
    <w:rsid w:val="007122F2"/>
    <w:rsid w:val="00712CFC"/>
    <w:rsid w:val="00726539"/>
    <w:rsid w:val="00727E7F"/>
    <w:rsid w:val="007359A8"/>
    <w:rsid w:val="00750A49"/>
    <w:rsid w:val="00760219"/>
    <w:rsid w:val="0076515F"/>
    <w:rsid w:val="007710E7"/>
    <w:rsid w:val="00771D5C"/>
    <w:rsid w:val="00777F43"/>
    <w:rsid w:val="00782EB4"/>
    <w:rsid w:val="00787435"/>
    <w:rsid w:val="00790F30"/>
    <w:rsid w:val="007A0B14"/>
    <w:rsid w:val="007C5F43"/>
    <w:rsid w:val="007C7053"/>
    <w:rsid w:val="007D666B"/>
    <w:rsid w:val="007E1B17"/>
    <w:rsid w:val="007E1FA6"/>
    <w:rsid w:val="007E2A84"/>
    <w:rsid w:val="007E445D"/>
    <w:rsid w:val="007F24F7"/>
    <w:rsid w:val="007F4AFE"/>
    <w:rsid w:val="008015C7"/>
    <w:rsid w:val="00807BCD"/>
    <w:rsid w:val="008159EE"/>
    <w:rsid w:val="00824A18"/>
    <w:rsid w:val="0082514D"/>
    <w:rsid w:val="00837F18"/>
    <w:rsid w:val="00841389"/>
    <w:rsid w:val="008436F7"/>
    <w:rsid w:val="008452A4"/>
    <w:rsid w:val="008533B1"/>
    <w:rsid w:val="00857226"/>
    <w:rsid w:val="00863ADE"/>
    <w:rsid w:val="00864A80"/>
    <w:rsid w:val="008670C4"/>
    <w:rsid w:val="00870024"/>
    <w:rsid w:val="008707C6"/>
    <w:rsid w:val="00871932"/>
    <w:rsid w:val="00875A60"/>
    <w:rsid w:val="00877AC8"/>
    <w:rsid w:val="00883DA8"/>
    <w:rsid w:val="008853F4"/>
    <w:rsid w:val="00886846"/>
    <w:rsid w:val="0089794C"/>
    <w:rsid w:val="008A10AF"/>
    <w:rsid w:val="008A22E3"/>
    <w:rsid w:val="008A29F3"/>
    <w:rsid w:val="008A6116"/>
    <w:rsid w:val="008C7641"/>
    <w:rsid w:val="008D3A51"/>
    <w:rsid w:val="008D3A8D"/>
    <w:rsid w:val="008D5E2F"/>
    <w:rsid w:val="008E48B3"/>
    <w:rsid w:val="00902C27"/>
    <w:rsid w:val="00903240"/>
    <w:rsid w:val="009049B6"/>
    <w:rsid w:val="00905005"/>
    <w:rsid w:val="0091145E"/>
    <w:rsid w:val="009143BE"/>
    <w:rsid w:val="00926A0F"/>
    <w:rsid w:val="00930312"/>
    <w:rsid w:val="009375B3"/>
    <w:rsid w:val="00951D98"/>
    <w:rsid w:val="00952C3F"/>
    <w:rsid w:val="00952F72"/>
    <w:rsid w:val="00955712"/>
    <w:rsid w:val="00965A32"/>
    <w:rsid w:val="00970680"/>
    <w:rsid w:val="00973815"/>
    <w:rsid w:val="00982F2E"/>
    <w:rsid w:val="0098616B"/>
    <w:rsid w:val="00986991"/>
    <w:rsid w:val="00987F4F"/>
    <w:rsid w:val="0099000A"/>
    <w:rsid w:val="009A44B5"/>
    <w:rsid w:val="009A6F12"/>
    <w:rsid w:val="009C4187"/>
    <w:rsid w:val="009D2328"/>
    <w:rsid w:val="009D3363"/>
    <w:rsid w:val="009E08BB"/>
    <w:rsid w:val="009E4B4B"/>
    <w:rsid w:val="009E5F75"/>
    <w:rsid w:val="00A00319"/>
    <w:rsid w:val="00A1192B"/>
    <w:rsid w:val="00A12B3F"/>
    <w:rsid w:val="00A13104"/>
    <w:rsid w:val="00A1779C"/>
    <w:rsid w:val="00A17BA0"/>
    <w:rsid w:val="00A214F3"/>
    <w:rsid w:val="00A2165E"/>
    <w:rsid w:val="00A23FD0"/>
    <w:rsid w:val="00A32BF6"/>
    <w:rsid w:val="00A33385"/>
    <w:rsid w:val="00A33E77"/>
    <w:rsid w:val="00A44151"/>
    <w:rsid w:val="00A503D2"/>
    <w:rsid w:val="00A54CDB"/>
    <w:rsid w:val="00A70BCC"/>
    <w:rsid w:val="00A76774"/>
    <w:rsid w:val="00A8428E"/>
    <w:rsid w:val="00A90738"/>
    <w:rsid w:val="00A9477E"/>
    <w:rsid w:val="00AA0B78"/>
    <w:rsid w:val="00AA0DB6"/>
    <w:rsid w:val="00AC27EF"/>
    <w:rsid w:val="00AC7D3C"/>
    <w:rsid w:val="00AD023D"/>
    <w:rsid w:val="00AD085E"/>
    <w:rsid w:val="00AD371A"/>
    <w:rsid w:val="00AF47AC"/>
    <w:rsid w:val="00B14659"/>
    <w:rsid w:val="00B16348"/>
    <w:rsid w:val="00B204B5"/>
    <w:rsid w:val="00B21AD0"/>
    <w:rsid w:val="00B24FFB"/>
    <w:rsid w:val="00B32611"/>
    <w:rsid w:val="00B36BDF"/>
    <w:rsid w:val="00B37BAE"/>
    <w:rsid w:val="00B436A4"/>
    <w:rsid w:val="00B45AFD"/>
    <w:rsid w:val="00B52854"/>
    <w:rsid w:val="00B534AB"/>
    <w:rsid w:val="00B5746A"/>
    <w:rsid w:val="00B6153F"/>
    <w:rsid w:val="00B636D3"/>
    <w:rsid w:val="00B6717B"/>
    <w:rsid w:val="00B77D31"/>
    <w:rsid w:val="00B859BE"/>
    <w:rsid w:val="00B96679"/>
    <w:rsid w:val="00BA14AD"/>
    <w:rsid w:val="00BA3168"/>
    <w:rsid w:val="00BA4743"/>
    <w:rsid w:val="00BB2F20"/>
    <w:rsid w:val="00BB411C"/>
    <w:rsid w:val="00BB639F"/>
    <w:rsid w:val="00BC04EB"/>
    <w:rsid w:val="00BC2684"/>
    <w:rsid w:val="00BC2C95"/>
    <w:rsid w:val="00BC3B9E"/>
    <w:rsid w:val="00BD1365"/>
    <w:rsid w:val="00BD138B"/>
    <w:rsid w:val="00BD7388"/>
    <w:rsid w:val="00BE6E48"/>
    <w:rsid w:val="00BE764A"/>
    <w:rsid w:val="00BF441F"/>
    <w:rsid w:val="00C00997"/>
    <w:rsid w:val="00C10E93"/>
    <w:rsid w:val="00C11C9D"/>
    <w:rsid w:val="00C170D2"/>
    <w:rsid w:val="00C30C69"/>
    <w:rsid w:val="00C3255E"/>
    <w:rsid w:val="00C33606"/>
    <w:rsid w:val="00C3483D"/>
    <w:rsid w:val="00C45CCD"/>
    <w:rsid w:val="00C4646E"/>
    <w:rsid w:val="00C50DC5"/>
    <w:rsid w:val="00C53123"/>
    <w:rsid w:val="00C5534B"/>
    <w:rsid w:val="00C60942"/>
    <w:rsid w:val="00C62F49"/>
    <w:rsid w:val="00C73463"/>
    <w:rsid w:val="00C757A3"/>
    <w:rsid w:val="00C83565"/>
    <w:rsid w:val="00C85DD8"/>
    <w:rsid w:val="00C86950"/>
    <w:rsid w:val="00C9284B"/>
    <w:rsid w:val="00C95CEB"/>
    <w:rsid w:val="00CA5D9D"/>
    <w:rsid w:val="00CB1278"/>
    <w:rsid w:val="00CB39D0"/>
    <w:rsid w:val="00CB7AF9"/>
    <w:rsid w:val="00CC1C1F"/>
    <w:rsid w:val="00CC1E74"/>
    <w:rsid w:val="00CC43E6"/>
    <w:rsid w:val="00CD3FB3"/>
    <w:rsid w:val="00CD6B8D"/>
    <w:rsid w:val="00D03834"/>
    <w:rsid w:val="00D04D7D"/>
    <w:rsid w:val="00D05893"/>
    <w:rsid w:val="00D153E9"/>
    <w:rsid w:val="00D21420"/>
    <w:rsid w:val="00D2361E"/>
    <w:rsid w:val="00D249F2"/>
    <w:rsid w:val="00D24FE6"/>
    <w:rsid w:val="00D25954"/>
    <w:rsid w:val="00D279FC"/>
    <w:rsid w:val="00D27C9E"/>
    <w:rsid w:val="00D30575"/>
    <w:rsid w:val="00D31159"/>
    <w:rsid w:val="00D3402A"/>
    <w:rsid w:val="00D34357"/>
    <w:rsid w:val="00D468C7"/>
    <w:rsid w:val="00D47039"/>
    <w:rsid w:val="00D6596C"/>
    <w:rsid w:val="00D677BC"/>
    <w:rsid w:val="00D70163"/>
    <w:rsid w:val="00D74577"/>
    <w:rsid w:val="00D74C8C"/>
    <w:rsid w:val="00D843EC"/>
    <w:rsid w:val="00D86250"/>
    <w:rsid w:val="00D90D5C"/>
    <w:rsid w:val="00DA20A0"/>
    <w:rsid w:val="00DB0390"/>
    <w:rsid w:val="00DB22D6"/>
    <w:rsid w:val="00DB2CB9"/>
    <w:rsid w:val="00DB6BE2"/>
    <w:rsid w:val="00DC44D4"/>
    <w:rsid w:val="00DE2E87"/>
    <w:rsid w:val="00DE4361"/>
    <w:rsid w:val="00DE5791"/>
    <w:rsid w:val="00DE6437"/>
    <w:rsid w:val="00DF2785"/>
    <w:rsid w:val="00DF385B"/>
    <w:rsid w:val="00DF5FEA"/>
    <w:rsid w:val="00DF6EDA"/>
    <w:rsid w:val="00DF74D4"/>
    <w:rsid w:val="00E00CA9"/>
    <w:rsid w:val="00E0645E"/>
    <w:rsid w:val="00E07B72"/>
    <w:rsid w:val="00E128BA"/>
    <w:rsid w:val="00E12C63"/>
    <w:rsid w:val="00E20306"/>
    <w:rsid w:val="00E33CDD"/>
    <w:rsid w:val="00E45005"/>
    <w:rsid w:val="00E470F3"/>
    <w:rsid w:val="00E47C09"/>
    <w:rsid w:val="00E52741"/>
    <w:rsid w:val="00E52A9C"/>
    <w:rsid w:val="00E6783A"/>
    <w:rsid w:val="00E72457"/>
    <w:rsid w:val="00E77760"/>
    <w:rsid w:val="00E83A92"/>
    <w:rsid w:val="00E95480"/>
    <w:rsid w:val="00E966E6"/>
    <w:rsid w:val="00EA41F3"/>
    <w:rsid w:val="00EB3AF3"/>
    <w:rsid w:val="00EB5AB3"/>
    <w:rsid w:val="00EC006B"/>
    <w:rsid w:val="00EC2E4E"/>
    <w:rsid w:val="00ED0188"/>
    <w:rsid w:val="00ED2D4C"/>
    <w:rsid w:val="00ED5631"/>
    <w:rsid w:val="00ED7C44"/>
    <w:rsid w:val="00EE14F0"/>
    <w:rsid w:val="00EE4F52"/>
    <w:rsid w:val="00EE5350"/>
    <w:rsid w:val="00EF525D"/>
    <w:rsid w:val="00F01429"/>
    <w:rsid w:val="00F02BB7"/>
    <w:rsid w:val="00F07232"/>
    <w:rsid w:val="00F0763E"/>
    <w:rsid w:val="00F1165F"/>
    <w:rsid w:val="00F145A8"/>
    <w:rsid w:val="00F14839"/>
    <w:rsid w:val="00F14932"/>
    <w:rsid w:val="00F215E6"/>
    <w:rsid w:val="00F255BE"/>
    <w:rsid w:val="00F31149"/>
    <w:rsid w:val="00F31234"/>
    <w:rsid w:val="00F32F1B"/>
    <w:rsid w:val="00F33CF7"/>
    <w:rsid w:val="00F50D58"/>
    <w:rsid w:val="00F55CD8"/>
    <w:rsid w:val="00F55ECF"/>
    <w:rsid w:val="00F5695A"/>
    <w:rsid w:val="00F6505D"/>
    <w:rsid w:val="00F65F03"/>
    <w:rsid w:val="00F66EB9"/>
    <w:rsid w:val="00F75D70"/>
    <w:rsid w:val="00F86269"/>
    <w:rsid w:val="00F94CAE"/>
    <w:rsid w:val="00F94FA0"/>
    <w:rsid w:val="00F95BED"/>
    <w:rsid w:val="00F962DC"/>
    <w:rsid w:val="00F968AE"/>
    <w:rsid w:val="00F979A7"/>
    <w:rsid w:val="00FA54EA"/>
    <w:rsid w:val="00FA5ED4"/>
    <w:rsid w:val="00FC0CEC"/>
    <w:rsid w:val="00FC256D"/>
    <w:rsid w:val="00FC2898"/>
    <w:rsid w:val="00FC399F"/>
    <w:rsid w:val="00FC432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1F198"/>
  <w15:docId w15:val="{5F0ECDD0-DF61-4ABA-A818-21EDF14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lang w:val="sq-AL"/>
    </w:rPr>
  </w:style>
  <w:style w:type="paragraph" w:styleId="Heading1">
    <w:name w:val="heading 1"/>
    <w:basedOn w:val="Normal"/>
    <w:next w:val="Normal"/>
    <w:link w:val="Heading1Char"/>
    <w:uiPriority w:val="9"/>
    <w:qFormat/>
    <w:rsid w:val="00DB6BE2"/>
    <w:pPr>
      <w:keepNext/>
      <w:keepLines/>
      <w:numPr>
        <w:numId w:val="2"/>
      </w:numPr>
      <w:spacing w:before="240" w:line="259" w:lineRule="auto"/>
      <w:outlineLvl w:val="0"/>
    </w:pPr>
    <w:rPr>
      <w:rFonts w:asciiTheme="minorHAnsi" w:eastAsiaTheme="majorEastAsia" w:hAnsiTheme="minorHAnsi" w:cs="Times New Roman (Titres CS)"/>
      <w:bCs w:val="0"/>
      <w:sz w:val="24"/>
      <w:szCs w:val="32"/>
      <w:lang w:val="en-US"/>
    </w:rPr>
  </w:style>
  <w:style w:type="paragraph" w:styleId="Heading2">
    <w:name w:val="heading 2"/>
    <w:basedOn w:val="Normal"/>
    <w:next w:val="Normal"/>
    <w:link w:val="Heading2Char"/>
    <w:uiPriority w:val="9"/>
    <w:unhideWhenUsed/>
    <w:qFormat/>
    <w:rsid w:val="00DB6BE2"/>
    <w:pPr>
      <w:keepNext/>
      <w:keepLines/>
      <w:numPr>
        <w:ilvl w:val="1"/>
        <w:numId w:val="2"/>
      </w:numPr>
      <w:spacing w:before="120" w:after="120" w:line="259" w:lineRule="auto"/>
      <w:outlineLvl w:val="1"/>
    </w:pPr>
    <w:rPr>
      <w:rFonts w:asciiTheme="minorHAnsi" w:eastAsiaTheme="majorEastAsia" w:hAnsiTheme="minorHAnsi" w:cstheme="majorBidi"/>
      <w:b w:val="0"/>
      <w:bCs w:val="0"/>
      <w:sz w:val="22"/>
      <w:szCs w:val="26"/>
      <w:u w:val="single"/>
      <w:lang w:val="en-US"/>
    </w:rPr>
  </w:style>
  <w:style w:type="paragraph" w:styleId="Heading4">
    <w:name w:val="heading 4"/>
    <w:basedOn w:val="Normal"/>
    <w:next w:val="Normal"/>
    <w:link w:val="Heading4Char"/>
    <w:uiPriority w:val="9"/>
    <w:unhideWhenUsed/>
    <w:qFormat/>
    <w:rsid w:val="00DB6BE2"/>
    <w:pPr>
      <w:keepNext/>
      <w:keepLines/>
      <w:numPr>
        <w:ilvl w:val="3"/>
        <w:numId w:val="2"/>
      </w:numPr>
      <w:spacing w:line="259" w:lineRule="auto"/>
      <w:outlineLvl w:val="3"/>
    </w:pPr>
    <w:rPr>
      <w:rFonts w:asciiTheme="majorHAnsi" w:eastAsiaTheme="majorEastAsia" w:hAnsiTheme="majorHAnsi" w:cstheme="majorBidi"/>
      <w:b w:val="0"/>
      <w:bCs w:val="0"/>
      <w:i/>
      <w:iCs/>
      <w:color w:val="000000" w:themeColor="text1"/>
      <w:sz w:val="22"/>
      <w:szCs w:val="22"/>
      <w:lang w:val="en-US"/>
    </w:rPr>
  </w:style>
  <w:style w:type="paragraph" w:styleId="Heading5">
    <w:name w:val="heading 5"/>
    <w:basedOn w:val="Normal"/>
    <w:next w:val="Normal"/>
    <w:link w:val="Heading5Char"/>
    <w:uiPriority w:val="9"/>
    <w:unhideWhenUsed/>
    <w:qFormat/>
    <w:rsid w:val="00DB6BE2"/>
    <w:pPr>
      <w:keepNext/>
      <w:keepLines/>
      <w:numPr>
        <w:ilvl w:val="4"/>
        <w:numId w:val="2"/>
      </w:numPr>
      <w:spacing w:before="40" w:line="259" w:lineRule="auto"/>
      <w:outlineLvl w:val="4"/>
    </w:pPr>
    <w:rPr>
      <w:rFonts w:asciiTheme="majorHAnsi" w:eastAsiaTheme="majorEastAsia" w:hAnsiTheme="majorHAnsi" w:cstheme="majorBidi"/>
      <w:b w:val="0"/>
      <w:bCs w:val="0"/>
      <w:color w:val="365F91" w:themeColor="accent1" w:themeShade="BF"/>
      <w:sz w:val="22"/>
      <w:szCs w:val="22"/>
      <w:lang w:val="en-US"/>
    </w:rPr>
  </w:style>
  <w:style w:type="paragraph" w:styleId="Heading6">
    <w:name w:val="heading 6"/>
    <w:basedOn w:val="Normal"/>
    <w:next w:val="Normal"/>
    <w:link w:val="Heading6Char"/>
    <w:uiPriority w:val="9"/>
    <w:unhideWhenUsed/>
    <w:qFormat/>
    <w:rsid w:val="00DB6BE2"/>
    <w:pPr>
      <w:keepNext/>
      <w:keepLines/>
      <w:numPr>
        <w:ilvl w:val="5"/>
        <w:numId w:val="2"/>
      </w:numPr>
      <w:spacing w:before="40" w:line="259" w:lineRule="auto"/>
      <w:outlineLvl w:val="5"/>
    </w:pPr>
    <w:rPr>
      <w:rFonts w:asciiTheme="majorHAnsi" w:eastAsiaTheme="majorEastAsia" w:hAnsiTheme="majorHAnsi" w:cstheme="majorBidi"/>
      <w:b w:val="0"/>
      <w:bCs w:val="0"/>
      <w:color w:val="243F60" w:themeColor="accent1" w:themeShade="7F"/>
      <w:sz w:val="22"/>
      <w:szCs w:val="22"/>
      <w:lang w:val="en-US"/>
    </w:rPr>
  </w:style>
  <w:style w:type="paragraph" w:styleId="Heading7">
    <w:name w:val="heading 7"/>
    <w:basedOn w:val="Normal"/>
    <w:next w:val="Normal"/>
    <w:link w:val="Heading7Char"/>
    <w:uiPriority w:val="9"/>
    <w:unhideWhenUsed/>
    <w:qFormat/>
    <w:rsid w:val="00DB6BE2"/>
    <w:pPr>
      <w:keepNext/>
      <w:keepLines/>
      <w:numPr>
        <w:ilvl w:val="6"/>
        <w:numId w:val="2"/>
      </w:numPr>
      <w:spacing w:before="40" w:line="259" w:lineRule="auto"/>
      <w:outlineLvl w:val="6"/>
    </w:pPr>
    <w:rPr>
      <w:rFonts w:asciiTheme="majorHAnsi" w:eastAsiaTheme="majorEastAsia" w:hAnsiTheme="majorHAnsi" w:cstheme="majorBidi"/>
      <w:b w:val="0"/>
      <w:bCs w:val="0"/>
      <w:i/>
      <w:iCs/>
      <w:color w:val="243F60" w:themeColor="accent1" w:themeShade="7F"/>
      <w:sz w:val="22"/>
      <w:szCs w:val="22"/>
      <w:lang w:val="en-US"/>
    </w:rPr>
  </w:style>
  <w:style w:type="paragraph" w:styleId="Heading8">
    <w:name w:val="heading 8"/>
    <w:basedOn w:val="Normal"/>
    <w:next w:val="Normal"/>
    <w:link w:val="Heading8Char"/>
    <w:uiPriority w:val="9"/>
    <w:semiHidden/>
    <w:unhideWhenUsed/>
    <w:qFormat/>
    <w:rsid w:val="00DB6BE2"/>
    <w:pPr>
      <w:keepNext/>
      <w:keepLines/>
      <w:numPr>
        <w:ilvl w:val="7"/>
        <w:numId w:val="2"/>
      </w:numPr>
      <w:spacing w:before="40" w:line="259" w:lineRule="auto"/>
      <w:outlineLvl w:val="7"/>
    </w:pPr>
    <w:rPr>
      <w:rFonts w:asciiTheme="majorHAnsi" w:eastAsiaTheme="majorEastAsia" w:hAnsiTheme="majorHAnsi" w:cstheme="majorBidi"/>
      <w:b w:val="0"/>
      <w:bCs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DB6BE2"/>
    <w:pPr>
      <w:keepNext/>
      <w:keepLines/>
      <w:numPr>
        <w:ilvl w:val="8"/>
        <w:numId w:val="2"/>
      </w:numPr>
      <w:spacing w:before="40" w:line="259" w:lineRule="auto"/>
      <w:outlineLvl w:val="8"/>
    </w:pPr>
    <w:rPr>
      <w:rFonts w:asciiTheme="majorHAnsi" w:eastAsiaTheme="majorEastAsia" w:hAnsiTheme="majorHAnsi" w:cstheme="majorBidi"/>
      <w:b w:val="0"/>
      <w:bCs w:val="0"/>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nhideWhenUsed/>
    <w:rsid w:val="004D4E59"/>
    <w:pPr>
      <w:tabs>
        <w:tab w:val="center" w:pos="4680"/>
        <w:tab w:val="right" w:pos="9360"/>
      </w:tabs>
    </w:pPr>
  </w:style>
  <w:style w:type="character" w:customStyle="1" w:styleId="FooterChar">
    <w:name w:val="Footer Char"/>
    <w:link w:val="Footer"/>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Annex,List Paragraph (numbered (a)),Numbered List Paragraph,References,Numbered Paragraph,Main numbered paragraph,List_Paragraph,Multilevel para_II,List Paragraph1,123 List Paragraph,Liste 1,3"/>
    <w:basedOn w:val="Normal"/>
    <w:link w:val="ListParagraphChar"/>
    <w:uiPriority w:val="34"/>
    <w:qFormat/>
    <w:rsid w:val="00D249F2"/>
    <w:pPr>
      <w:ind w:left="720"/>
    </w:pPr>
  </w:style>
  <w:style w:type="paragraph" w:customStyle="1" w:styleId="Default">
    <w:name w:val="Default"/>
    <w:rsid w:val="00727E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27E7F"/>
    <w:rPr>
      <w:rFonts w:ascii="Arial" w:hAnsi="Arial" w:cs="Arial"/>
      <w:b w:val="0"/>
      <w:bCs w:val="0"/>
      <w:sz w:val="20"/>
      <w:lang w:val="en-US"/>
    </w:rPr>
  </w:style>
  <w:style w:type="character" w:customStyle="1" w:styleId="BodyTextChar">
    <w:name w:val="Body Text Char"/>
    <w:basedOn w:val="DefaultParagraphFont"/>
    <w:link w:val="BodyText"/>
    <w:rsid w:val="00727E7F"/>
    <w:rPr>
      <w:rFonts w:ascii="Arial" w:eastAsia="Times New Roman" w:hAnsi="Arial" w:cs="Arial"/>
      <w:szCs w:val="24"/>
    </w:rPr>
  </w:style>
  <w:style w:type="character" w:customStyle="1" w:styleId="st">
    <w:name w:val="st"/>
    <w:basedOn w:val="DefaultParagraphFont"/>
    <w:rsid w:val="00F1165F"/>
  </w:style>
  <w:style w:type="paragraph" w:styleId="ListContinue">
    <w:name w:val="List Continue"/>
    <w:basedOn w:val="Normal"/>
    <w:rsid w:val="00F86269"/>
    <w:pPr>
      <w:spacing w:after="120"/>
      <w:ind w:left="283"/>
    </w:pPr>
    <w:rPr>
      <w:rFonts w:ascii="Times New Roman" w:hAnsi="Times New Roman"/>
      <w:b w:val="0"/>
      <w:bCs w:val="0"/>
      <w:sz w:val="24"/>
      <w:lang w:val="en-US"/>
    </w:rPr>
  </w:style>
  <w:style w:type="paragraph" w:customStyle="1" w:styleId="TextBoxUnframed">
    <w:name w:val="Text Box Unframed"/>
    <w:rsid w:val="00453829"/>
    <w:pPr>
      <w:keepNext/>
      <w:keepLines/>
      <w:tabs>
        <w:tab w:val="left" w:pos="-720"/>
      </w:tabs>
      <w:suppressAutoHyphens/>
    </w:pPr>
    <w:rPr>
      <w:rFonts w:ascii="Times New Roman" w:eastAsia="Times New Roman" w:hAnsi="Times New Roman"/>
      <w:sz w:val="22"/>
    </w:rPr>
  </w:style>
  <w:style w:type="paragraph" w:customStyle="1" w:styleId="ChapterNumber">
    <w:name w:val="ChapterNumber"/>
    <w:rsid w:val="00BC2C95"/>
    <w:pPr>
      <w:tabs>
        <w:tab w:val="left" w:pos="-720"/>
      </w:tabs>
      <w:suppressAutoHyphens/>
    </w:pPr>
    <w:rPr>
      <w:rFonts w:ascii="CG Times" w:eastAsia="Times New Roman" w:hAnsi="CG Times"/>
      <w:sz w:val="22"/>
    </w:rPr>
  </w:style>
  <w:style w:type="paragraph" w:customStyle="1" w:styleId="Heading1a">
    <w:name w:val="Heading 1a"/>
    <w:rsid w:val="00BC2C95"/>
    <w:pPr>
      <w:keepNext/>
      <w:keepLines/>
      <w:tabs>
        <w:tab w:val="left" w:pos="-720"/>
      </w:tabs>
      <w:suppressAutoHyphens/>
      <w:jc w:val="center"/>
    </w:pPr>
    <w:rPr>
      <w:rFonts w:ascii="Times New Roman" w:eastAsia="Times New Roman" w:hAnsi="Times New Roman"/>
      <w:b/>
      <w:smallCaps/>
      <w:sz w:val="32"/>
    </w:rPr>
  </w:style>
  <w:style w:type="character" w:customStyle="1" w:styleId="ListParagraphChar">
    <w:name w:val="List Paragraph Char"/>
    <w:aliases w:val="List Paragraph 1 Char,Akapit z listą BS Char,Bullets Char,Annex Char,List Paragraph (numbered (a)) Char,Numbered List Paragraph Char,References Char,Numbered Paragraph Char,Main numbered paragraph Char,List_Paragraph Char,3 Char"/>
    <w:link w:val="ListParagraph"/>
    <w:uiPriority w:val="34"/>
    <w:qFormat/>
    <w:locked/>
    <w:rsid w:val="00BC2C95"/>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BC2C95"/>
  </w:style>
  <w:style w:type="character" w:customStyle="1" w:styleId="shorttext">
    <w:name w:val="short_text"/>
    <w:rsid w:val="00BC2C95"/>
    <w:rPr>
      <w:rFonts w:cs="Times New Roman"/>
    </w:rPr>
  </w:style>
  <w:style w:type="paragraph" w:customStyle="1" w:styleId="StylePADEdoardo">
    <w:name w:val="StylePADEdoardo"/>
    <w:basedOn w:val="ListParagraph"/>
    <w:uiPriority w:val="99"/>
    <w:qFormat/>
    <w:rsid w:val="00DF74D4"/>
    <w:pPr>
      <w:numPr>
        <w:numId w:val="1"/>
      </w:numPr>
      <w:tabs>
        <w:tab w:val="num" w:pos="360"/>
        <w:tab w:val="num" w:pos="720"/>
      </w:tabs>
      <w:autoSpaceDE w:val="0"/>
      <w:autoSpaceDN w:val="0"/>
      <w:adjustRightInd w:val="0"/>
      <w:spacing w:before="120" w:after="120" w:line="256" w:lineRule="auto"/>
      <w:ind w:left="0" w:hanging="634"/>
      <w:jc w:val="both"/>
    </w:pPr>
    <w:rPr>
      <w:rFonts w:ascii="Calibri" w:eastAsia="SimSun" w:hAnsi="Calibri" w:cs="Arial"/>
      <w:sz w:val="22"/>
      <w:szCs w:val="22"/>
      <w:lang w:val="en-GB"/>
    </w:rPr>
  </w:style>
  <w:style w:type="paragraph" w:customStyle="1" w:styleId="Style">
    <w:name w:val="Style"/>
    <w:uiPriority w:val="99"/>
    <w:rsid w:val="00902C27"/>
    <w:pPr>
      <w:widowControl w:val="0"/>
      <w:autoSpaceDE w:val="0"/>
      <w:autoSpaceDN w:val="0"/>
      <w:adjustRightInd w:val="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9794C"/>
    <w:rPr>
      <w:color w:val="605E5C"/>
      <w:shd w:val="clear" w:color="auto" w:fill="E1DFDD"/>
    </w:rPr>
  </w:style>
  <w:style w:type="character" w:customStyle="1" w:styleId="Heading1Char">
    <w:name w:val="Heading 1 Char"/>
    <w:basedOn w:val="DefaultParagraphFont"/>
    <w:link w:val="Heading1"/>
    <w:uiPriority w:val="9"/>
    <w:rsid w:val="00DB6BE2"/>
    <w:rPr>
      <w:rFonts w:asciiTheme="minorHAnsi" w:eastAsiaTheme="majorEastAsia" w:hAnsiTheme="minorHAnsi" w:cs="Times New Roman (Titres CS)"/>
      <w:b/>
      <w:sz w:val="24"/>
      <w:szCs w:val="32"/>
    </w:rPr>
  </w:style>
  <w:style w:type="character" w:customStyle="1" w:styleId="Heading2Char">
    <w:name w:val="Heading 2 Char"/>
    <w:basedOn w:val="DefaultParagraphFont"/>
    <w:link w:val="Heading2"/>
    <w:uiPriority w:val="9"/>
    <w:rsid w:val="00DB6BE2"/>
    <w:rPr>
      <w:rFonts w:asciiTheme="minorHAnsi" w:eastAsiaTheme="majorEastAsia" w:hAnsiTheme="minorHAnsi" w:cstheme="majorBidi"/>
      <w:sz w:val="22"/>
      <w:szCs w:val="26"/>
      <w:u w:val="single"/>
    </w:rPr>
  </w:style>
  <w:style w:type="character" w:customStyle="1" w:styleId="Heading4Char">
    <w:name w:val="Heading 4 Char"/>
    <w:basedOn w:val="DefaultParagraphFont"/>
    <w:link w:val="Heading4"/>
    <w:uiPriority w:val="9"/>
    <w:rsid w:val="00DB6BE2"/>
    <w:rPr>
      <w:rFonts w:asciiTheme="majorHAnsi" w:eastAsiaTheme="majorEastAsia" w:hAnsiTheme="majorHAnsi" w:cstheme="majorBidi"/>
      <w:i/>
      <w:iCs/>
      <w:color w:val="000000" w:themeColor="text1"/>
      <w:sz w:val="22"/>
      <w:szCs w:val="22"/>
    </w:rPr>
  </w:style>
  <w:style w:type="character" w:customStyle="1" w:styleId="Heading5Char">
    <w:name w:val="Heading 5 Char"/>
    <w:basedOn w:val="DefaultParagraphFont"/>
    <w:link w:val="Heading5"/>
    <w:uiPriority w:val="9"/>
    <w:rsid w:val="00DB6BE2"/>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rsid w:val="00DB6BE2"/>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rsid w:val="00DB6BE2"/>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DB6B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6BE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795783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rben.molla@bujqesia.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801E8-60F2-453F-B260-23DB774E47B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Alfred Depa</cp:lastModifiedBy>
  <cp:revision>13</cp:revision>
  <cp:lastPrinted>2023-11-17T10:13:00Z</cp:lastPrinted>
  <dcterms:created xsi:type="dcterms:W3CDTF">2026-05-19T06:35:00Z</dcterms:created>
  <dcterms:modified xsi:type="dcterms:W3CDTF">2026-05-19T06:46:00Z</dcterms:modified>
</cp:coreProperties>
</file>