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C13D" w14:textId="354BA24D" w:rsidR="000D1B37" w:rsidRPr="00A55DD4" w:rsidRDefault="00B95116" w:rsidP="001531D7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A55DD4">
        <w:rPr>
          <w:rFonts w:ascii="Garamond" w:hAnsi="Garamond"/>
          <w:b/>
          <w:sz w:val="24"/>
          <w:lang w:val="sq-AL"/>
        </w:rPr>
        <w:t>URDHËR</w:t>
      </w:r>
    </w:p>
    <w:p w14:paraId="13E9B2FA" w14:textId="1FC8BD33" w:rsidR="000F74B6" w:rsidRPr="00A55DD4" w:rsidRDefault="00B95116" w:rsidP="001531D7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A55DD4">
        <w:rPr>
          <w:rFonts w:ascii="Garamond" w:hAnsi="Garamond"/>
          <w:b/>
          <w:sz w:val="24"/>
          <w:lang w:val="sq-AL"/>
        </w:rPr>
        <w:t>Nr</w:t>
      </w:r>
      <w:r w:rsidR="00956F02" w:rsidRPr="00A55DD4">
        <w:rPr>
          <w:rFonts w:ascii="Garamond" w:hAnsi="Garamond"/>
          <w:b/>
          <w:sz w:val="24"/>
          <w:lang w:val="sq-AL"/>
        </w:rPr>
        <w:t xml:space="preserve">. </w:t>
      </w:r>
      <w:r w:rsidR="00B24495" w:rsidRPr="00A55DD4">
        <w:rPr>
          <w:rFonts w:ascii="Garamond" w:hAnsi="Garamond"/>
          <w:b/>
          <w:sz w:val="24"/>
          <w:lang w:val="sq-AL"/>
        </w:rPr>
        <w:t>455</w:t>
      </w:r>
      <w:r w:rsidR="00956F02" w:rsidRPr="00A55DD4">
        <w:rPr>
          <w:rFonts w:ascii="Garamond" w:hAnsi="Garamond"/>
          <w:b/>
          <w:sz w:val="24"/>
          <w:lang w:val="sq-AL"/>
        </w:rPr>
        <w:t xml:space="preserve">, datë </w:t>
      </w:r>
      <w:r w:rsidR="00997076" w:rsidRPr="00A55DD4">
        <w:rPr>
          <w:rFonts w:ascii="Garamond" w:hAnsi="Garamond"/>
          <w:b/>
          <w:sz w:val="24"/>
          <w:lang w:val="sq-AL"/>
        </w:rPr>
        <w:t>2</w:t>
      </w:r>
      <w:r w:rsidR="00FA71A9" w:rsidRPr="00A55DD4">
        <w:rPr>
          <w:rFonts w:ascii="Garamond" w:hAnsi="Garamond"/>
          <w:b/>
          <w:sz w:val="24"/>
          <w:lang w:val="sq-AL"/>
        </w:rPr>
        <w:t>.</w:t>
      </w:r>
      <w:r w:rsidR="00E345E5" w:rsidRPr="00A55DD4">
        <w:rPr>
          <w:rFonts w:ascii="Garamond" w:hAnsi="Garamond"/>
          <w:b/>
          <w:sz w:val="24"/>
          <w:lang w:val="sq-AL"/>
        </w:rPr>
        <w:t>8</w:t>
      </w:r>
      <w:r w:rsidR="00956F02" w:rsidRPr="00A55DD4">
        <w:rPr>
          <w:rFonts w:ascii="Garamond" w:hAnsi="Garamond"/>
          <w:b/>
          <w:sz w:val="24"/>
          <w:lang w:val="sq-AL"/>
        </w:rPr>
        <w:t>.2023</w:t>
      </w:r>
    </w:p>
    <w:p w14:paraId="730F0BB7" w14:textId="2341628B" w:rsidR="00B95116" w:rsidRPr="00A55DD4" w:rsidRDefault="00B95116" w:rsidP="001531D7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</w:p>
    <w:p w14:paraId="4E1675B1" w14:textId="5CC7AB81" w:rsidR="001531D7" w:rsidRPr="00A55DD4" w:rsidRDefault="001531D7" w:rsidP="001531D7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lang w:val="sq-AL"/>
        </w:rPr>
      </w:pPr>
      <w:r w:rsidRPr="00A55DD4">
        <w:rPr>
          <w:rFonts w:ascii="Garamond" w:hAnsi="Garamond"/>
          <w:b/>
          <w:sz w:val="24"/>
          <w:lang w:val="sq-AL"/>
        </w:rPr>
        <w:t>PËR PËRDITËSIMIN E URDHRIT TË MINISTRIT NR. 275, DATË 5.5.2023, “PËR MIRATIMIN E LËNDËVE VEPRUESE DHE PËRBËRËSVE TË TJERË, NË PËRMBAJTJE TË PMB-</w:t>
      </w:r>
      <w:r w:rsidR="002215DF" w:rsidRPr="00A55DD4">
        <w:rPr>
          <w:rFonts w:ascii="Garamond" w:hAnsi="Garamond"/>
          <w:b/>
          <w:sz w:val="24"/>
          <w:lang w:val="sq-AL"/>
        </w:rPr>
        <w:t>ve</w:t>
      </w:r>
      <w:r w:rsidRPr="00A55DD4">
        <w:rPr>
          <w:rFonts w:ascii="Garamond" w:hAnsi="Garamond"/>
          <w:b/>
          <w:sz w:val="24"/>
          <w:lang w:val="sq-AL"/>
        </w:rPr>
        <w:t>”</w:t>
      </w:r>
    </w:p>
    <w:p w14:paraId="01ECAB5A" w14:textId="77777777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4EADD513" w14:textId="04357805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>Në mbështetje të nenit 102, pika 4</w:t>
      </w:r>
      <w:r w:rsidR="00D97F66" w:rsidRPr="00A55DD4">
        <w:rPr>
          <w:rFonts w:ascii="Garamond" w:hAnsi="Garamond"/>
          <w:sz w:val="24"/>
          <w:lang w:val="sq-AL"/>
        </w:rPr>
        <w:t>,</w:t>
      </w:r>
      <w:r w:rsidRPr="00A55DD4">
        <w:rPr>
          <w:rFonts w:ascii="Garamond" w:hAnsi="Garamond"/>
          <w:sz w:val="24"/>
          <w:lang w:val="sq-AL"/>
        </w:rPr>
        <w:t xml:space="preserve"> të Kushtetutës, të nenit 19, pika 5, të kreut V, të </w:t>
      </w:r>
      <w:r w:rsidR="00D97F66" w:rsidRPr="00A55DD4">
        <w:rPr>
          <w:rFonts w:ascii="Garamond" w:hAnsi="Garamond"/>
          <w:sz w:val="24"/>
          <w:lang w:val="sq-AL"/>
        </w:rPr>
        <w:t xml:space="preserve">ligjit nr. </w:t>
      </w:r>
      <w:r w:rsidRPr="00A55DD4">
        <w:rPr>
          <w:rFonts w:ascii="Garamond" w:hAnsi="Garamond"/>
          <w:sz w:val="24"/>
          <w:lang w:val="sq-AL"/>
        </w:rPr>
        <w:t xml:space="preserve">105/2016, “Për mbrojtjen e bimëve”, </w:t>
      </w:r>
      <w:r w:rsidR="00D97F66" w:rsidRPr="00A55DD4">
        <w:rPr>
          <w:rFonts w:ascii="Garamond" w:hAnsi="Garamond"/>
          <w:sz w:val="24"/>
          <w:lang w:val="sq-AL"/>
        </w:rPr>
        <w:t>të</w:t>
      </w:r>
      <w:r w:rsidRPr="00A55DD4">
        <w:rPr>
          <w:rFonts w:ascii="Garamond" w:hAnsi="Garamond"/>
          <w:sz w:val="24"/>
          <w:lang w:val="sq-AL"/>
        </w:rPr>
        <w:t xml:space="preserve"> ndryshuar</w:t>
      </w:r>
      <w:r w:rsidR="00D97F66" w:rsidRPr="00A55DD4">
        <w:rPr>
          <w:rFonts w:ascii="Garamond" w:hAnsi="Garamond"/>
          <w:sz w:val="24"/>
          <w:lang w:val="sq-AL"/>
        </w:rPr>
        <w:t>;</w:t>
      </w:r>
      <w:r w:rsidRPr="00A55DD4">
        <w:rPr>
          <w:rFonts w:ascii="Garamond" w:hAnsi="Garamond"/>
          <w:sz w:val="24"/>
          <w:lang w:val="sq-AL"/>
        </w:rPr>
        <w:t xml:space="preserve"> si dhe të pikës 6.3, të kreut VII, të </w:t>
      </w:r>
      <w:r w:rsidR="00D97F66" w:rsidRPr="00A55DD4">
        <w:rPr>
          <w:rFonts w:ascii="Garamond" w:hAnsi="Garamond"/>
          <w:sz w:val="24"/>
          <w:lang w:val="sq-AL"/>
        </w:rPr>
        <w:t>vendimit n</w:t>
      </w:r>
      <w:r w:rsidRPr="00A55DD4">
        <w:rPr>
          <w:rFonts w:ascii="Garamond" w:hAnsi="Garamond"/>
          <w:sz w:val="24"/>
          <w:lang w:val="sq-AL"/>
        </w:rPr>
        <w:t xml:space="preserve">r. 335, datë 6.6.2018, të Këshillit të Ministrave, “Për miratimin e rregullave për regjistrimin, të procedurës dhe </w:t>
      </w:r>
      <w:r w:rsidR="00D97F66" w:rsidRPr="00A55DD4">
        <w:rPr>
          <w:rFonts w:ascii="Garamond" w:hAnsi="Garamond"/>
          <w:sz w:val="24"/>
          <w:lang w:val="sq-AL"/>
        </w:rPr>
        <w:t xml:space="preserve">të </w:t>
      </w:r>
      <w:r w:rsidRPr="00A55DD4">
        <w:rPr>
          <w:rFonts w:ascii="Garamond" w:hAnsi="Garamond"/>
          <w:sz w:val="24"/>
          <w:lang w:val="sq-AL"/>
        </w:rPr>
        <w:t>kritereve të vlerësimit të produkteve për mbrojtjen e bimëve”, të ndryshuar, dhe sipas propozimit të strukturës përgjegjëse për mbrojtjen e bimëve,</w:t>
      </w:r>
    </w:p>
    <w:p w14:paraId="7DD42891" w14:textId="77777777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4F254DBE" w14:textId="319E3618" w:rsidR="001531D7" w:rsidRPr="00A55DD4" w:rsidRDefault="001531D7" w:rsidP="001531D7">
      <w:pPr>
        <w:spacing w:after="0" w:line="240" w:lineRule="auto"/>
        <w:ind w:firstLine="284"/>
        <w:jc w:val="center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>URDHËROJ:</w:t>
      </w:r>
    </w:p>
    <w:p w14:paraId="1D8E138F" w14:textId="77777777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652450A8" w14:textId="212CAE27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 xml:space="preserve">1. Në </w:t>
      </w:r>
      <w:r w:rsidR="0037163E" w:rsidRPr="00A55DD4">
        <w:rPr>
          <w:rFonts w:ascii="Garamond" w:hAnsi="Garamond"/>
          <w:sz w:val="24"/>
          <w:lang w:val="sq-AL"/>
        </w:rPr>
        <w:t>urdhrin e ministrit nr</w:t>
      </w:r>
      <w:r w:rsidRPr="00A55DD4">
        <w:rPr>
          <w:rFonts w:ascii="Garamond" w:hAnsi="Garamond"/>
          <w:sz w:val="24"/>
          <w:lang w:val="sq-AL"/>
        </w:rPr>
        <w:t>. 275, datë 5.5.2023, “Për miratimin e lëndëve vepruese dhe përbërësve të tjerë, në përmbajtje të PMB-ve”, bëhet përditësimi me ndryshimet dhe shtesat, si më poshtë:</w:t>
      </w:r>
    </w:p>
    <w:p w14:paraId="3D3726AE" w14:textId="4AE4D354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 xml:space="preserve">a) </w:t>
      </w:r>
      <w:r w:rsidR="00D97F66" w:rsidRPr="00A55DD4">
        <w:rPr>
          <w:rFonts w:ascii="Garamond" w:hAnsi="Garamond"/>
          <w:sz w:val="24"/>
          <w:lang w:val="sq-AL"/>
        </w:rPr>
        <w:t xml:space="preserve">në </w:t>
      </w:r>
      <w:r w:rsidRPr="00A55DD4">
        <w:rPr>
          <w:rFonts w:ascii="Garamond" w:hAnsi="Garamond"/>
          <w:sz w:val="24"/>
          <w:lang w:val="sq-AL"/>
        </w:rPr>
        <w:t>pjesën C, të shtojcës 1, miratohet për shtim 1 (një) lëndë vepruese, bashkëlidhur këtij urdhri;</w:t>
      </w:r>
    </w:p>
    <w:p w14:paraId="07D3BF66" w14:textId="1686D6F1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 xml:space="preserve">b) </w:t>
      </w:r>
      <w:r w:rsidR="00D97F66" w:rsidRPr="00A55DD4">
        <w:rPr>
          <w:rFonts w:ascii="Garamond" w:hAnsi="Garamond"/>
          <w:sz w:val="24"/>
          <w:lang w:val="sq-AL"/>
        </w:rPr>
        <w:t xml:space="preserve">rinovohet </w:t>
      </w:r>
      <w:r w:rsidRPr="00A55DD4">
        <w:rPr>
          <w:rFonts w:ascii="Garamond" w:hAnsi="Garamond"/>
          <w:sz w:val="24"/>
          <w:lang w:val="sq-AL"/>
        </w:rPr>
        <w:t>regjistrimi për 9 (nëntë) lëndë vepruese, bashkëlidhur këtij urdhri;</w:t>
      </w:r>
    </w:p>
    <w:p w14:paraId="61626BE4" w14:textId="7CDF157B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 xml:space="preserve">c) </w:t>
      </w:r>
      <w:r w:rsidR="00D97F66" w:rsidRPr="00A55DD4">
        <w:rPr>
          <w:rFonts w:ascii="Garamond" w:hAnsi="Garamond"/>
          <w:sz w:val="24"/>
          <w:lang w:val="sq-AL"/>
        </w:rPr>
        <w:t xml:space="preserve">zgjaten </w:t>
      </w:r>
      <w:r w:rsidRPr="00A55DD4">
        <w:rPr>
          <w:rFonts w:ascii="Garamond" w:hAnsi="Garamond"/>
          <w:sz w:val="24"/>
          <w:lang w:val="sq-AL"/>
        </w:rPr>
        <w:t>afatet e regjistrimit për 71 (shtatëdhjetë e një) lëndë vepruese, bashkëlidhur këtij urdhri;</w:t>
      </w:r>
    </w:p>
    <w:p w14:paraId="17D200BE" w14:textId="361DDD1C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 xml:space="preserve">ç) </w:t>
      </w:r>
      <w:r w:rsidR="00D97F66" w:rsidRPr="00A55DD4">
        <w:rPr>
          <w:rFonts w:ascii="Garamond" w:hAnsi="Garamond"/>
          <w:sz w:val="24"/>
          <w:lang w:val="sq-AL"/>
        </w:rPr>
        <w:t xml:space="preserve">hiqen </w:t>
      </w:r>
      <w:r w:rsidRPr="00A55DD4">
        <w:rPr>
          <w:rFonts w:ascii="Garamond" w:hAnsi="Garamond"/>
          <w:sz w:val="24"/>
          <w:lang w:val="sq-AL"/>
        </w:rPr>
        <w:t>2 (dy) lëndë vepruese, bashkëlidhur këtij urdhri.</w:t>
      </w:r>
      <w:bookmarkStart w:id="0" w:name="_GoBack"/>
      <w:bookmarkEnd w:id="0"/>
    </w:p>
    <w:p w14:paraId="70BED4B0" w14:textId="32B84D85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>2. Ky përditësim të pasqyrohet në dokumentet e regjistrimit të PMB-ve të regjistruara.</w:t>
      </w:r>
    </w:p>
    <w:p w14:paraId="63F24558" w14:textId="6382B2B1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>3. Për zbatimin e këtij urdhri ngarkohet Drejtoria e Përgjithshme e Zhvillimit në Fushën e Sigurisë Ushqimore, Veterinarisë, Mbrojtjes së Bimëve dhe Peshkimit.</w:t>
      </w:r>
    </w:p>
    <w:p w14:paraId="605B1FE7" w14:textId="632651E5" w:rsidR="001531D7" w:rsidRPr="00A55DD4" w:rsidRDefault="001531D7" w:rsidP="00AE4D25">
      <w:pPr>
        <w:pStyle w:val="TEKSTIII"/>
        <w:rPr>
          <w:lang w:val="sq-AL"/>
        </w:rPr>
      </w:pPr>
      <w:r w:rsidRPr="00A55DD4">
        <w:rPr>
          <w:lang w:val="sq-AL"/>
        </w:rPr>
        <w:t>Ky urdhër hyn në fuqi menjëherë dhe botohet në Fletoren Zyrtare.</w:t>
      </w:r>
    </w:p>
    <w:p w14:paraId="3A54DC78" w14:textId="77777777" w:rsidR="001531D7" w:rsidRPr="00A55DD4" w:rsidRDefault="001531D7" w:rsidP="001531D7">
      <w:pPr>
        <w:spacing w:after="0" w:line="240" w:lineRule="auto"/>
        <w:ind w:firstLine="284"/>
        <w:jc w:val="both"/>
        <w:rPr>
          <w:rFonts w:ascii="Garamond" w:hAnsi="Garamond"/>
          <w:sz w:val="24"/>
          <w:lang w:val="sq-AL"/>
        </w:rPr>
      </w:pPr>
    </w:p>
    <w:p w14:paraId="5BC4B764" w14:textId="771304C7" w:rsidR="001531D7" w:rsidRPr="00A55DD4" w:rsidRDefault="001531D7" w:rsidP="001531D7">
      <w:pPr>
        <w:spacing w:after="0" w:line="240" w:lineRule="auto"/>
        <w:ind w:firstLine="284"/>
        <w:jc w:val="right"/>
        <w:rPr>
          <w:rFonts w:ascii="Garamond" w:hAnsi="Garamond"/>
          <w:sz w:val="24"/>
          <w:lang w:val="sq-AL"/>
        </w:rPr>
      </w:pPr>
      <w:r w:rsidRPr="00A55DD4">
        <w:rPr>
          <w:rFonts w:ascii="Garamond" w:hAnsi="Garamond"/>
          <w:sz w:val="24"/>
          <w:lang w:val="sq-AL"/>
        </w:rPr>
        <w:t>MINISTËR I BUJQËSISË DHE ZHVILLIMIT RURAL</w:t>
      </w:r>
    </w:p>
    <w:p w14:paraId="419C32BB" w14:textId="11B75F2D" w:rsidR="001531D7" w:rsidRPr="00A55DD4" w:rsidRDefault="001531D7" w:rsidP="001531D7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lang w:val="sq-AL"/>
        </w:rPr>
      </w:pPr>
      <w:r w:rsidRPr="00A55DD4">
        <w:rPr>
          <w:rFonts w:ascii="Garamond" w:hAnsi="Garamond"/>
          <w:b/>
          <w:sz w:val="24"/>
          <w:lang w:val="sq-AL"/>
        </w:rPr>
        <w:t>Frida Krifca</w:t>
      </w:r>
    </w:p>
    <w:p w14:paraId="1E6E3A1A" w14:textId="1D34E25D" w:rsidR="00B95116" w:rsidRPr="00A55DD4" w:rsidRDefault="00B95116" w:rsidP="001531D7">
      <w:pPr>
        <w:spacing w:after="0" w:line="240" w:lineRule="auto"/>
        <w:ind w:firstLine="284"/>
        <w:jc w:val="right"/>
        <w:rPr>
          <w:rFonts w:ascii="Garamond" w:hAnsi="Garamond"/>
          <w:sz w:val="24"/>
          <w:lang w:val="sq-AL"/>
        </w:rPr>
      </w:pPr>
    </w:p>
    <w:p w14:paraId="3A9DE1D5" w14:textId="11E570DB" w:rsidR="00AE4D25" w:rsidRPr="00A55DD4" w:rsidRDefault="00AE4D25" w:rsidP="00433B7B">
      <w:pPr>
        <w:pStyle w:val="TEKSTIII"/>
        <w:jc w:val="left"/>
        <w:rPr>
          <w:spacing w:val="-3"/>
          <w:lang w:val="sq-AL"/>
        </w:rPr>
      </w:pPr>
      <w:r w:rsidRPr="00A55DD4">
        <w:rPr>
          <w:lang w:val="sq-AL"/>
        </w:rPr>
        <w:t xml:space="preserve">1. MIRATOHET PËR SHTIM </w:t>
      </w:r>
      <w:r w:rsidRPr="00A55DD4">
        <w:rPr>
          <w:color w:val="000000" w:themeColor="text1"/>
          <w:lang w:val="sq-AL"/>
        </w:rPr>
        <w:t>NË PJESËN C, TË SHTOJCËS 1</w:t>
      </w:r>
      <w:r w:rsidRPr="00A55DD4">
        <w:rPr>
          <w:lang w:val="sq-AL"/>
        </w:rPr>
        <w:t xml:space="preserve">, LËNDA VEPRUESE </w:t>
      </w:r>
      <w:r w:rsidRPr="00A55DD4">
        <w:rPr>
          <w:spacing w:val="-3"/>
          <w:lang w:val="sq-AL"/>
        </w:rPr>
        <w:t>ME RREZIK TË ULËT</w:t>
      </w:r>
      <w:r w:rsidRPr="00A55DD4">
        <w:rPr>
          <w:lang w:val="sq-AL"/>
        </w:rPr>
        <w:t xml:space="preserve"> SI MË POSHTË</w:t>
      </w:r>
      <w:r w:rsidRPr="00A55DD4">
        <w:rPr>
          <w:spacing w:val="-3"/>
          <w:lang w:val="sq-AL"/>
        </w:rPr>
        <w:t>:</w:t>
      </w:r>
    </w:p>
    <w:p w14:paraId="10DCDCA9" w14:textId="5055E485" w:rsidR="00AE4D25" w:rsidRPr="00A55DD4" w:rsidRDefault="00AE4D25" w:rsidP="00AE4D25">
      <w:pPr>
        <w:pStyle w:val="TEKSTIII"/>
        <w:rPr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703"/>
        <w:gridCol w:w="1033"/>
        <w:gridCol w:w="958"/>
        <w:gridCol w:w="1012"/>
        <w:gridCol w:w="1225"/>
        <w:gridCol w:w="2913"/>
      </w:tblGrid>
      <w:tr w:rsidR="00276A42" w:rsidRPr="00A55DD4" w14:paraId="19F1AB48" w14:textId="77777777" w:rsidTr="00300DA8">
        <w:trPr>
          <w:trHeight w:val="20"/>
        </w:trPr>
        <w:tc>
          <w:tcPr>
            <w:tcW w:w="168" w:type="pct"/>
            <w:vAlign w:val="center"/>
            <w:hideMark/>
          </w:tcPr>
          <w:p w14:paraId="6E4CA6BC" w14:textId="77777777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Nr.</w:t>
            </w:r>
          </w:p>
        </w:tc>
        <w:tc>
          <w:tcPr>
            <w:tcW w:w="1079" w:type="pct"/>
            <w:vAlign w:val="center"/>
            <w:hideMark/>
          </w:tcPr>
          <w:p w14:paraId="0DA55A22" w14:textId="4109D38D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ind w:left="-180" w:right="-108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Emri i zakonshëm</w:t>
            </w:r>
          </w:p>
          <w:p w14:paraId="1B7F8A1E" w14:textId="3105995F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ind w:right="-97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dhe numri i identifikimit</w:t>
            </w:r>
          </w:p>
        </w:tc>
        <w:tc>
          <w:tcPr>
            <w:tcW w:w="431" w:type="pct"/>
            <w:vAlign w:val="center"/>
            <w:hideMark/>
          </w:tcPr>
          <w:p w14:paraId="06E26A7B" w14:textId="77777777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Emërtimi IUPAC</w:t>
            </w:r>
          </w:p>
        </w:tc>
        <w:tc>
          <w:tcPr>
            <w:tcW w:w="474" w:type="pct"/>
            <w:vAlign w:val="center"/>
            <w:hideMark/>
          </w:tcPr>
          <w:p w14:paraId="371BB266" w14:textId="77777777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Pastërtia</w:t>
            </w:r>
          </w:p>
        </w:tc>
        <w:tc>
          <w:tcPr>
            <w:tcW w:w="518" w:type="pct"/>
            <w:vAlign w:val="center"/>
          </w:tcPr>
          <w:p w14:paraId="3C97B1FF" w14:textId="77777777" w:rsidR="00276A42" w:rsidRPr="00A55DD4" w:rsidRDefault="00276A42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miratimit</w:t>
            </w:r>
          </w:p>
        </w:tc>
        <w:tc>
          <w:tcPr>
            <w:tcW w:w="604" w:type="pct"/>
            <w:vAlign w:val="center"/>
          </w:tcPr>
          <w:p w14:paraId="22944D4B" w14:textId="77777777" w:rsidR="00276A42" w:rsidRPr="00A55DD4" w:rsidRDefault="00276A42" w:rsidP="00300DA8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përfundimit</w:t>
            </w:r>
          </w:p>
        </w:tc>
        <w:tc>
          <w:tcPr>
            <w:tcW w:w="1726" w:type="pct"/>
            <w:vAlign w:val="center"/>
            <w:hideMark/>
          </w:tcPr>
          <w:p w14:paraId="2E65FEEE" w14:textId="77777777" w:rsidR="00276A42" w:rsidRPr="00A55DD4" w:rsidRDefault="00276A42" w:rsidP="00300DA8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Dispozita specifike</w:t>
            </w:r>
          </w:p>
        </w:tc>
      </w:tr>
      <w:tr w:rsidR="00276A42" w:rsidRPr="00A55DD4" w14:paraId="7AEB4C0D" w14:textId="77777777" w:rsidTr="00300DA8">
        <w:trPr>
          <w:trHeight w:val="20"/>
        </w:trPr>
        <w:tc>
          <w:tcPr>
            <w:tcW w:w="168" w:type="pct"/>
            <w:hideMark/>
          </w:tcPr>
          <w:p w14:paraId="6744B32F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</w:t>
            </w:r>
          </w:p>
        </w:tc>
        <w:tc>
          <w:tcPr>
            <w:tcW w:w="1079" w:type="pct"/>
            <w:hideMark/>
          </w:tcPr>
          <w:p w14:paraId="519AFD98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t>Calcium carbonate</w:t>
            </w:r>
          </w:p>
          <w:p w14:paraId="41FFA329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CAS No 471-34-1</w:t>
            </w:r>
          </w:p>
          <w:p w14:paraId="072327CD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CIPAC No 843</w:t>
            </w:r>
          </w:p>
          <w:p w14:paraId="6ABA9705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</w:p>
          <w:p w14:paraId="134099D3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t>Limestone</w:t>
            </w:r>
          </w:p>
          <w:p w14:paraId="3059E28F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CAS No 1317-65-3</w:t>
            </w:r>
          </w:p>
          <w:p w14:paraId="0355568E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CIPAC No 852</w:t>
            </w:r>
          </w:p>
        </w:tc>
        <w:tc>
          <w:tcPr>
            <w:tcW w:w="431" w:type="pct"/>
            <w:hideMark/>
          </w:tcPr>
          <w:p w14:paraId="7BE62773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Calcium carbonate</w:t>
            </w:r>
          </w:p>
        </w:tc>
        <w:tc>
          <w:tcPr>
            <w:tcW w:w="474" w:type="pct"/>
            <w:hideMark/>
          </w:tcPr>
          <w:p w14:paraId="47846AE1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950 g/kg</w:t>
            </w:r>
          </w:p>
        </w:tc>
        <w:tc>
          <w:tcPr>
            <w:tcW w:w="518" w:type="pct"/>
          </w:tcPr>
          <w:p w14:paraId="3E050D22" w14:textId="23651350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</w:t>
            </w:r>
            <w:r w:rsidR="00117387"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nëntor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2021</w:t>
            </w:r>
          </w:p>
        </w:tc>
        <w:tc>
          <w:tcPr>
            <w:tcW w:w="604" w:type="pct"/>
          </w:tcPr>
          <w:p w14:paraId="62D5B18F" w14:textId="16A8F93A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31 </w:t>
            </w:r>
            <w:r w:rsidR="00117387"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tetor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2036</w:t>
            </w:r>
          </w:p>
        </w:tc>
        <w:tc>
          <w:tcPr>
            <w:tcW w:w="1726" w:type="pct"/>
            <w:hideMark/>
          </w:tcPr>
          <w:p w14:paraId="3B099D7B" w14:textId="77777777" w:rsidR="00276A42" w:rsidRPr="00A55DD4" w:rsidRDefault="00276A42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Nuk ka</w:t>
            </w:r>
          </w:p>
        </w:tc>
      </w:tr>
    </w:tbl>
    <w:p w14:paraId="0A2CA899" w14:textId="09FE1CB5" w:rsidR="00276A42" w:rsidRPr="00A55DD4" w:rsidRDefault="00276A42" w:rsidP="00AE4D25">
      <w:pPr>
        <w:pStyle w:val="TEKSTIII"/>
        <w:rPr>
          <w:lang w:val="sq-AL"/>
        </w:rPr>
      </w:pPr>
    </w:p>
    <w:p w14:paraId="32B31AF8" w14:textId="6A998627" w:rsidR="005362FE" w:rsidRPr="00A55DD4" w:rsidRDefault="005362FE" w:rsidP="005362FE">
      <w:pPr>
        <w:pStyle w:val="TEKSTIII"/>
        <w:rPr>
          <w:lang w:val="sq-AL"/>
        </w:rPr>
      </w:pPr>
      <w:r w:rsidRPr="00A55DD4">
        <w:rPr>
          <w:lang w:val="sq-AL"/>
        </w:rPr>
        <w:t xml:space="preserve">2. RINOVOHET REGJISTRIMI (RIREGJISTRIM) PËR: </w:t>
      </w:r>
    </w:p>
    <w:p w14:paraId="1C1E7DA7" w14:textId="6B6DD1E7" w:rsidR="005362FE" w:rsidRPr="00A55DD4" w:rsidRDefault="005362FE" w:rsidP="005362FE">
      <w:pPr>
        <w:pStyle w:val="TEKSTIII"/>
        <w:rPr>
          <w:lang w:val="sq-AL"/>
        </w:rPr>
      </w:pPr>
      <w:r w:rsidRPr="00A55DD4">
        <w:rPr>
          <w:lang w:val="sq-AL"/>
        </w:rPr>
        <w:t>2.1</w:t>
      </w:r>
      <w:r w:rsidR="00433B7B" w:rsidRPr="00A55DD4">
        <w:rPr>
          <w:lang w:val="sq-AL"/>
        </w:rPr>
        <w:t xml:space="preserve"> </w:t>
      </w:r>
      <w:r w:rsidRPr="00A55DD4">
        <w:rPr>
          <w:lang w:val="sq-AL"/>
        </w:rPr>
        <w:t>LËNDËT VEPRUESE</w:t>
      </w:r>
      <w:r w:rsidR="00117387" w:rsidRPr="00A55DD4">
        <w:rPr>
          <w:lang w:val="sq-AL"/>
        </w:rPr>
        <w:t>,</w:t>
      </w:r>
      <w:r w:rsidRPr="00A55DD4">
        <w:rPr>
          <w:lang w:val="sq-AL"/>
        </w:rPr>
        <w:t xml:space="preserve"> SI MË POSHTË:</w:t>
      </w:r>
    </w:p>
    <w:p w14:paraId="6561ADCB" w14:textId="77777777" w:rsidR="005362FE" w:rsidRPr="00A55DD4" w:rsidRDefault="005362FE" w:rsidP="005362FE">
      <w:pPr>
        <w:pStyle w:val="TEKSTIII"/>
        <w:rPr>
          <w:b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798"/>
        <w:gridCol w:w="1033"/>
        <w:gridCol w:w="1587"/>
        <w:gridCol w:w="1012"/>
        <w:gridCol w:w="1225"/>
        <w:gridCol w:w="2189"/>
      </w:tblGrid>
      <w:tr w:rsidR="005362FE" w:rsidRPr="00A55DD4" w14:paraId="6CCF7980" w14:textId="77777777" w:rsidTr="00300DA8">
        <w:trPr>
          <w:trHeight w:val="368"/>
        </w:trPr>
        <w:tc>
          <w:tcPr>
            <w:tcW w:w="166" w:type="pct"/>
            <w:vAlign w:val="center"/>
            <w:hideMark/>
          </w:tcPr>
          <w:p w14:paraId="7CCCF1F6" w14:textId="77777777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lastRenderedPageBreak/>
              <w:t>Nr.</w:t>
            </w:r>
          </w:p>
        </w:tc>
        <w:tc>
          <w:tcPr>
            <w:tcW w:w="1001" w:type="pct"/>
            <w:vAlign w:val="center"/>
            <w:hideMark/>
          </w:tcPr>
          <w:p w14:paraId="5D6B6579" w14:textId="3ED9A07D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Emri i zakonshëm</w:t>
            </w:r>
          </w:p>
          <w:p w14:paraId="7C20BD94" w14:textId="77777777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dhe numri i identifikimit</w:t>
            </w:r>
          </w:p>
        </w:tc>
        <w:tc>
          <w:tcPr>
            <w:tcW w:w="417" w:type="pct"/>
            <w:vAlign w:val="center"/>
            <w:hideMark/>
          </w:tcPr>
          <w:p w14:paraId="0F15C2D1" w14:textId="77777777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Emërtimi IUPAC</w:t>
            </w:r>
          </w:p>
        </w:tc>
        <w:tc>
          <w:tcPr>
            <w:tcW w:w="627" w:type="pct"/>
            <w:vAlign w:val="center"/>
            <w:hideMark/>
          </w:tcPr>
          <w:p w14:paraId="50DF7CB4" w14:textId="77777777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Pastërtia</w:t>
            </w:r>
          </w:p>
        </w:tc>
        <w:tc>
          <w:tcPr>
            <w:tcW w:w="415" w:type="pct"/>
            <w:vAlign w:val="center"/>
          </w:tcPr>
          <w:p w14:paraId="28BFE8BF" w14:textId="77777777" w:rsidR="005362FE" w:rsidRPr="00A55DD4" w:rsidRDefault="005362FE" w:rsidP="00300DA8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miratimit</w:t>
            </w:r>
          </w:p>
        </w:tc>
        <w:tc>
          <w:tcPr>
            <w:tcW w:w="500" w:type="pct"/>
            <w:vAlign w:val="center"/>
          </w:tcPr>
          <w:p w14:paraId="6550BBAE" w14:textId="77777777" w:rsidR="005362FE" w:rsidRPr="00A55DD4" w:rsidRDefault="005362FE" w:rsidP="00300DA8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përfundimit</w:t>
            </w:r>
          </w:p>
        </w:tc>
        <w:tc>
          <w:tcPr>
            <w:tcW w:w="1874" w:type="pct"/>
            <w:vAlign w:val="center"/>
            <w:hideMark/>
          </w:tcPr>
          <w:p w14:paraId="653CE94F" w14:textId="77777777" w:rsidR="005362FE" w:rsidRPr="00A55DD4" w:rsidRDefault="005362FE" w:rsidP="00300DA8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Dispozita specifike</w:t>
            </w:r>
          </w:p>
        </w:tc>
      </w:tr>
      <w:tr w:rsidR="005362FE" w:rsidRPr="00A55DD4" w14:paraId="56746D14" w14:textId="77777777" w:rsidTr="00300DA8">
        <w:trPr>
          <w:trHeight w:val="440"/>
        </w:trPr>
        <w:tc>
          <w:tcPr>
            <w:tcW w:w="166" w:type="pct"/>
            <w:hideMark/>
          </w:tcPr>
          <w:p w14:paraId="6E7522B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</w:t>
            </w: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t>1.</w:t>
            </w:r>
          </w:p>
        </w:tc>
        <w:tc>
          <w:tcPr>
            <w:tcW w:w="1001" w:type="pct"/>
            <w:hideMark/>
          </w:tcPr>
          <w:p w14:paraId="1EC223E5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18E7D871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kurstaki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EG2348</w:t>
            </w:r>
          </w:p>
        </w:tc>
        <w:tc>
          <w:tcPr>
            <w:tcW w:w="417" w:type="pct"/>
            <w:hideMark/>
          </w:tcPr>
          <w:p w14:paraId="11672F23" w14:textId="3EE6BA0B" w:rsidR="005362FE" w:rsidRPr="00A55DD4" w:rsidRDefault="00433B7B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</w:t>
            </w:r>
            <w:r w:rsidR="005362FE" w:rsidRPr="00A55DD4">
              <w:rPr>
                <w:rFonts w:ascii="Garamond" w:hAnsi="Garamond"/>
                <w:sz w:val="20"/>
                <w:szCs w:val="20"/>
                <w:lang w:val="sq-AL"/>
              </w:rPr>
              <w:t>n.a.</w:t>
            </w:r>
          </w:p>
        </w:tc>
        <w:tc>
          <w:tcPr>
            <w:tcW w:w="627" w:type="pct"/>
            <w:hideMark/>
          </w:tcPr>
          <w:p w14:paraId="3E87FB27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Jo papastërti relevante. </w:t>
            </w:r>
          </w:p>
        </w:tc>
        <w:tc>
          <w:tcPr>
            <w:tcW w:w="415" w:type="pct"/>
          </w:tcPr>
          <w:p w14:paraId="01BACBCE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76295FFF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  <w:hideMark/>
          </w:tcPr>
          <w:p w14:paraId="2C54A264" w14:textId="1FFFACDF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612D27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612D27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45E69E56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mundshëm, duke siguruar që pajisjet e duhura mbrojtëse personale të përfshihen si kusht përdorimi;</w:t>
            </w:r>
          </w:p>
          <w:p w14:paraId="3B551213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mikrobiologjike.</w:t>
            </w:r>
          </w:p>
          <w:p w14:paraId="49A32BA8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13CEB42F" w14:textId="6DE1F030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duhet të mbahet një periudhë minimale kohore prej 2 ditësh ndërmjet aplikimit të PMB-ve që përmbajnë Bacillus thuringiensis subsp kurstaki EG2348 dhe vjeljes së kulturave bujq</w:t>
            </w:r>
            <w:r w:rsidR="00612D27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sore të përdorura për konsum të freskët, përveç rasteve kur të dhënat e disponueshme të matura ose të vlerësuara të mbetjeve tregojnë nivelet e Bacillus thuringiensis subsp. kurstaki EG2348 nën 105 CFU/gr, siç rekomandohet nga EFSA.</w:t>
            </w:r>
          </w:p>
          <w:p w14:paraId="7BE334FB" w14:textId="18458510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të dhënat në të paktën një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kulturë të ngrënshme përfaqësuese (d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, në frutat farore dhe perimet solanace gjatë periudhës së frutave)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kurstaki EG2348 në pjesët e ngrënshme të bimëve nga koha e aplikimit të një PMB-je që përmban këtë substancë aktive deri në kohën e vjeljes ose derisa nivelet e gjetura të jenë nën 105 CFU/gr, duke përfshirë të dhënat e qëndrueshmërisë së ruajtjes së mikroorganizmave midis marrjes së mostrave dhe analizës së numërimit të sporeve. </w:t>
            </w:r>
          </w:p>
        </w:tc>
      </w:tr>
      <w:tr w:rsidR="005362FE" w:rsidRPr="00A55DD4" w14:paraId="5F942894" w14:textId="77777777" w:rsidTr="00300DA8">
        <w:trPr>
          <w:trHeight w:val="242"/>
        </w:trPr>
        <w:tc>
          <w:tcPr>
            <w:tcW w:w="166" w:type="pct"/>
          </w:tcPr>
          <w:p w14:paraId="4B8987AF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2.</w:t>
            </w:r>
          </w:p>
        </w:tc>
        <w:tc>
          <w:tcPr>
            <w:tcW w:w="1001" w:type="pct"/>
          </w:tcPr>
          <w:p w14:paraId="7627223B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amyloliquefaciens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56593395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shtami QST 713</w:t>
            </w:r>
          </w:p>
        </w:tc>
        <w:tc>
          <w:tcPr>
            <w:tcW w:w="417" w:type="pct"/>
          </w:tcPr>
          <w:p w14:paraId="371CC89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66487DE1" w14:textId="77777777" w:rsidR="005362FE" w:rsidRPr="00A55DD4" w:rsidRDefault="005362FE" w:rsidP="002215DF">
            <w:pPr>
              <w:pStyle w:val="NoSpacing"/>
              <w:ind w:right="181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  <w:p w14:paraId="06121AF3" w14:textId="5314C52F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Përmbajtja nominale e shtamit Bacillus amyloliquefaciens QST 713 në produktin teknik dhe formulimin është 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minimumi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: 1×10</w:t>
            </w:r>
            <w:r w:rsidRPr="00A55DD4">
              <w:rPr>
                <w:rFonts w:ascii="Garamond" w:hAnsi="Garamond"/>
                <w:sz w:val="20"/>
                <w:szCs w:val="20"/>
                <w:vertAlign w:val="superscript"/>
                <w:lang w:val="sq-AL"/>
              </w:rPr>
              <w:t>12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CFU/kg</w:t>
            </w:r>
          </w:p>
          <w:p w14:paraId="7FA09991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Maksimumi: 3×10</w:t>
            </w:r>
            <w:r w:rsidRPr="00A55DD4">
              <w:rPr>
                <w:rFonts w:ascii="Garamond" w:hAnsi="Garamond"/>
                <w:sz w:val="20"/>
                <w:szCs w:val="20"/>
                <w:vertAlign w:val="superscript"/>
                <w:lang w:val="sq-AL"/>
              </w:rPr>
              <w:t>13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CFU/kg.</w:t>
            </w:r>
          </w:p>
        </w:tc>
        <w:tc>
          <w:tcPr>
            <w:tcW w:w="415" w:type="pct"/>
          </w:tcPr>
          <w:p w14:paraId="4F303FD8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090E182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7CC1BCCD" w14:textId="6EF45C9A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Kur regjistrohen PMB</w:t>
            </w:r>
            <w:r w:rsidR="002634F2" w:rsidRPr="00A55DD4">
              <w:rPr>
                <w:rFonts w:ascii="Garamond" w:hAnsi="Garamond"/>
                <w:sz w:val="20"/>
                <w:szCs w:val="20"/>
                <w:lang w:val="sq-AL"/>
              </w:rPr>
              <w:t>-ja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që përmbajnë shtamin Bacillus amyloliquefaciens QST 713 për aplikime me spërkatje në fushë, në mënyrë që të sigurohet mbrojtja e organizmave jo të synuar, përfshirë bletët, duhet të:</w:t>
            </w:r>
          </w:p>
          <w:p w14:paraId="2F74F17F" w14:textId="01AD008A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autorizohen aplikimet në fushë vetëm në kulturat e palulëzuara ose në prani të barërave të këqija në fushë jashtë periudhës ditore të ushqimit të bletëve;</w:t>
            </w:r>
          </w:p>
          <w:p w14:paraId="346153B4" w14:textId="0994F958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zbatohen masa për zbutjen e rrezikut që synojnë të reduktojnë lëvizjen në zonat jashtë fushës (p</w:t>
            </w:r>
            <w:r w:rsidR="00DB1DC3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sh. duke marrë parasysh aplikimin e zonave tampon dhe të zvogëlimit të spërkatjes me sprucatorë).</w:t>
            </w:r>
          </w:p>
          <w:p w14:paraId="14D4ED92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Do të kushtohet vëmendje e veçantë për:</w:t>
            </w:r>
          </w:p>
          <w:p w14:paraId="47AAB0F6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- sigurimin nga prodhuesi për mirëmbajtjen e rreptë të kushteve mjedisore dhe analizën e kontrollit të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cilësisë gjatë procesit të prodhimit, në mënyrë që të sigurohet përmbushja e kufijve të ndotjes mikrobiologjike;</w:t>
            </w:r>
          </w:p>
          <w:p w14:paraId="7A53ACAC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specifikimet e materialit teknik të prodhuar komercialisht dhe të përdorur në PMB-të;</w:t>
            </w:r>
          </w:p>
          <w:p w14:paraId="7714447B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mundshëm, duke siguruar që pajisjet e duhura mbrojtëse personale të përfshihen si kusht përdorimi.</w:t>
            </w:r>
          </w:p>
        </w:tc>
      </w:tr>
      <w:tr w:rsidR="005362FE" w:rsidRPr="00A55DD4" w14:paraId="551B0F79" w14:textId="77777777" w:rsidTr="00300DA8">
        <w:trPr>
          <w:trHeight w:val="195"/>
        </w:trPr>
        <w:tc>
          <w:tcPr>
            <w:tcW w:w="166" w:type="pct"/>
          </w:tcPr>
          <w:p w14:paraId="51E5A662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3.</w:t>
            </w:r>
          </w:p>
        </w:tc>
        <w:tc>
          <w:tcPr>
            <w:tcW w:w="1001" w:type="pct"/>
          </w:tcPr>
          <w:p w14:paraId="722CD7A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3D5A7B56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kurstaki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SA-12</w:t>
            </w:r>
          </w:p>
        </w:tc>
        <w:tc>
          <w:tcPr>
            <w:tcW w:w="417" w:type="pct"/>
          </w:tcPr>
          <w:p w14:paraId="533A5F58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0168894A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226798F4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7B637D8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32D4059E" w14:textId="717274DC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DB1DC3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DB1DC3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0AE83E9E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mundshëm, duke siguruar që pajisjet e duhura mbrojtëse personale të përfshihen si kusht përdorimi;</w:t>
            </w:r>
          </w:p>
          <w:p w14:paraId="0AB6DA11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mikrobiologjike.</w:t>
            </w:r>
          </w:p>
          <w:p w14:paraId="23D8672A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3FFA7772" w14:textId="267507B1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- një periudhë minimale kohore prej 1 dite duhet të mbahet ndërmjet aplikimit të PMB-ve që përmbajnë Bacillus thuringiensis subsp.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kurstaki SA-12 dhe vjeljes s</w:t>
            </w:r>
            <w:r w:rsidR="00DB1DC3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kulturave bujq</w:t>
            </w:r>
            <w:r w:rsidR="00DB1DC3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sore të përdorura për konsum të freskët, përveç rasteve kur të dhënat e disponueshme të mbetjeve të matura ose të vlerësuara tregojnë nivelet e Bacillus thuringiensis subsp. kurstaki SA-12 nën 105 CFU/gr, siç rekomandohet nga EFSA.</w:t>
            </w:r>
          </w:p>
          <w:p w14:paraId="06C52B4E" w14:textId="01DD8505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</w:t>
            </w:r>
            <w:r w:rsidR="000A3F8E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të dhënat në të paktën një kulturë të ngrënshme përfaqësuese (d</w:t>
            </w:r>
            <w:r w:rsidR="000A3F8E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0A3F8E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</w:t>
            </w:r>
            <w:r w:rsidR="000A3F8E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, në frutat farore dhe domate)</w:t>
            </w:r>
            <w:r w:rsidR="000A3F8E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kurstaki SA-12 në pjesët e ngrënshme të bimëve nga koha e aplikimit të një PMB-je që përmban këtë substancë aktive deri në kohën e vjeljes ose derisa nivelet e gjetura të jenë nën 105 CFU/g, duke përfshirë të dhënat e qëndrueshmërisë së ruajtjes së mikroorganizmave midis marrjes së mostrave dhe analizës së numërimit të sporeve. </w:t>
            </w:r>
          </w:p>
        </w:tc>
      </w:tr>
      <w:tr w:rsidR="005362FE" w:rsidRPr="00A55DD4" w14:paraId="51D0B4C2" w14:textId="77777777" w:rsidTr="00300DA8">
        <w:trPr>
          <w:trHeight w:val="103"/>
        </w:trPr>
        <w:tc>
          <w:tcPr>
            <w:tcW w:w="166" w:type="pct"/>
          </w:tcPr>
          <w:p w14:paraId="0A2D8162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4.</w:t>
            </w:r>
          </w:p>
        </w:tc>
        <w:tc>
          <w:tcPr>
            <w:tcW w:w="1001" w:type="pct"/>
          </w:tcPr>
          <w:p w14:paraId="0EC939B6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58B7BBEE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kurstaki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ABTS-351</w:t>
            </w:r>
          </w:p>
        </w:tc>
        <w:tc>
          <w:tcPr>
            <w:tcW w:w="417" w:type="pct"/>
          </w:tcPr>
          <w:p w14:paraId="1BB177E0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02507AC2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648228A9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705EC079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7E0AD412" w14:textId="1F288510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7F6539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4F3BBE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0076A8F5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mundshëm, duke siguruar që pajisjet e duhura mbrojtëse personale të përfshihen si kusht përdorimi;</w:t>
            </w:r>
          </w:p>
          <w:p w14:paraId="633C8090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- sigurimin nga prodhuesi për mirëmbajtjen e rreptë të kushteve mjedisore dhe analizën e kontrollit të cilësisë gjatë procesit të prodhimit, në mënyrë që të sigurohet përmbushja e kufijve të ndotjes mikrobiologjike.</w:t>
            </w:r>
          </w:p>
          <w:p w14:paraId="231D120C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2D4A0D5C" w14:textId="2ADE4DED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një periudhë minimale kohore prej 2 dit</w:t>
            </w:r>
            <w:r w:rsidR="004F3BBE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sh duhet të mbahet ndërmjet aplikimit të PMB-ve që përmbajnë Bacillus thuringiensis subsp. kurstaki ABTS-351 dhe 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 xml:space="preserve">vjeljes së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kulturave bujq</w:t>
            </w:r>
            <w:r w:rsidR="004F3BBE" w:rsidRPr="00A55DD4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sore të përdorura për konsum të freskët, përveç rasteve kur të dhënat e disponueshme të mbetjeve të matura ose të vlerësuara tregojnë nivelet e Bacillus thuringiensis subsp. kurstaki ABTS-351 nën 105 CFU/gr, siç rekomandohet nga EFSA.</w:t>
            </w:r>
          </w:p>
          <w:p w14:paraId="0CEF4257" w14:textId="12A49DC0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</w:t>
            </w:r>
            <w:r w:rsidR="004F3BBE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të dhënat në të paktën një kulturë të ngrënshme përfaqësuese (d</w:t>
            </w:r>
            <w:r w:rsidR="00543771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543771" w:rsidRPr="00A55DD4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th. në lakër dhe domate)</w:t>
            </w:r>
            <w:r w:rsidR="00543771" w:rsidRPr="00A55DD4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kurstaki ABTS-351 në pjesët e ngrënshme të bimëve që nga koha e aplikimit të një PMB-je që përmban këtë substancë aktive deri në kohën e vjeljes ose derisa nivelet e gjetura të jenë nën 105 CFU/gr, duke përfshirë të dhënat e qëndrueshmërisë së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ruajtjes së mikroorganizmave midis marrjes së mostrave dhe analizës së numërimit të sporeve.</w:t>
            </w:r>
          </w:p>
        </w:tc>
      </w:tr>
      <w:tr w:rsidR="005362FE" w:rsidRPr="00A55DD4" w14:paraId="3A5C480F" w14:textId="77777777" w:rsidTr="00300DA8">
        <w:trPr>
          <w:trHeight w:val="115"/>
        </w:trPr>
        <w:tc>
          <w:tcPr>
            <w:tcW w:w="166" w:type="pct"/>
          </w:tcPr>
          <w:p w14:paraId="4EB3564F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5.</w:t>
            </w:r>
          </w:p>
        </w:tc>
        <w:tc>
          <w:tcPr>
            <w:tcW w:w="1001" w:type="pct"/>
          </w:tcPr>
          <w:p w14:paraId="5102FAC0" w14:textId="18DC9A33" w:rsidR="005362FE" w:rsidRPr="00A55DD4" w:rsidRDefault="005362FE" w:rsidP="00A55DD4">
            <w:pPr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7A5A80B9" w14:textId="77777777" w:rsidR="005362FE" w:rsidRPr="00A55DD4" w:rsidRDefault="005362FE" w:rsidP="00A55DD4">
            <w:pPr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subsp. </w:t>
            </w: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israelensis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7D092566" w14:textId="77777777" w:rsidR="005362FE" w:rsidRPr="00A55DD4" w:rsidRDefault="005362FE" w:rsidP="00A55DD4">
            <w:pPr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shtami AM65-52</w:t>
            </w:r>
          </w:p>
          <w:p w14:paraId="62ECC558" w14:textId="1C91F4D4" w:rsidR="005362FE" w:rsidRPr="00A55DD4" w:rsidRDefault="005362FE" w:rsidP="00A55DD4">
            <w:pPr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Koleksioni i kulturës </w:t>
            </w:r>
            <w:r w:rsidR="00A55DD4" w:rsidRPr="00A55DD4">
              <w:rPr>
                <w:rFonts w:ascii="Garamond" w:hAnsi="Garamond"/>
                <w:sz w:val="20"/>
                <w:szCs w:val="20"/>
                <w:lang w:val="sq-AL"/>
              </w:rPr>
              <w:t>n</w:t>
            </w:r>
            <w:r w:rsidR="00A55DD4" w:rsidRPr="00A55DD4">
              <w:rPr>
                <w:rFonts w:ascii="Garamond" w:hAnsi="Garamond"/>
                <w:sz w:val="20"/>
                <w:szCs w:val="20"/>
              </w:rPr>
              <w:t>r</w:t>
            </w:r>
            <w:r w:rsidR="00A55DD4" w:rsidRPr="00A55DD4">
              <w:rPr>
                <w:rFonts w:ascii="Garamond" w:hAnsi="Garamond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ATCC 1276</w:t>
            </w:r>
          </w:p>
        </w:tc>
        <w:tc>
          <w:tcPr>
            <w:tcW w:w="417" w:type="pct"/>
          </w:tcPr>
          <w:p w14:paraId="305BB496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492B9C62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291B36CB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1411BF66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07E861A2" w14:textId="02E60EEE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884F8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D11547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78F63274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mundshëm;</w:t>
            </w:r>
          </w:p>
          <w:p w14:paraId="17FA8B99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mikrobiologjike;</w:t>
            </w:r>
          </w:p>
          <w:p w14:paraId="01CA1F03" w14:textId="4ED76E2B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pjalmuesve të egër dhe e organizmave ujorë (p</w:t>
            </w:r>
            <w:r w:rsidR="00D11547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sh. jovertebrorët ujorë nga </w:t>
            </w:r>
            <w:r w:rsidRPr="00D11547">
              <w:rPr>
                <w:rFonts w:ascii="Garamond" w:hAnsi="Garamond"/>
                <w:sz w:val="20"/>
                <w:szCs w:val="20"/>
                <w:lang w:val="sq-AL"/>
              </w:rPr>
              <w:t>Dipteret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veçanti) në rast të përdorimit në fushë të hapur. Kushtet e përdorimit do të përfshijnë masa specifike për zbutjen e rrezikut, kur është e nevojshme, të tilla si:</w:t>
            </w:r>
          </w:p>
          <w:p w14:paraId="421472EF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pajisjet adekuate mbrojtëse personale për operatorët që përdorin PMB që përmbajnë Bacillus thuringiensis subsp. shtami israelensis AM65-52;</w:t>
            </w:r>
          </w:p>
          <w:p w14:paraId="258A0130" w14:textId="620E3CB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në rast të autorizimit të përdorimit në kulturat bujq</w:t>
            </w:r>
            <w:r w:rsidR="00D11547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sore, duhet të mbahet një periudhë minimale prej 3 ditësh ndërmjet aplikimit të PMB-ve që përmbajnë Bacillus thuringiensis subsp. israelensis AM65-52 dhe 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 xml:space="preserve">vjeljes së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kulturave bujq</w:t>
            </w:r>
            <w:r w:rsidR="00510F63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sore të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përdorura për konsum të freskët, përveç nëse të dhënat e disponueshme të mbetjeve të matura ose të vlerësuara tregojnë nivelet e Bacillus thuringiensis subsp. israelensis AM65-52 nën 105 CFU/gr në vjelje.</w:t>
            </w:r>
          </w:p>
        </w:tc>
      </w:tr>
      <w:tr w:rsidR="005362FE" w:rsidRPr="00A55DD4" w14:paraId="5E6F3F0D" w14:textId="77777777" w:rsidTr="00300DA8">
        <w:trPr>
          <w:trHeight w:val="103"/>
        </w:trPr>
        <w:tc>
          <w:tcPr>
            <w:tcW w:w="166" w:type="pct"/>
          </w:tcPr>
          <w:p w14:paraId="01453514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6.</w:t>
            </w:r>
          </w:p>
        </w:tc>
        <w:tc>
          <w:tcPr>
            <w:tcW w:w="1001" w:type="pct"/>
          </w:tcPr>
          <w:p w14:paraId="5711FAA2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 xml:space="preserve"> 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67C905CC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aizawai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GC-91</w:t>
            </w:r>
          </w:p>
        </w:tc>
        <w:tc>
          <w:tcPr>
            <w:tcW w:w="417" w:type="pct"/>
          </w:tcPr>
          <w:p w14:paraId="25F04C76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0EB20D2F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5FB06E08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0E7A1E52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7DE9FB77" w14:textId="1CF453B8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510F63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264699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1460EF9B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mundshëm;</w:t>
            </w:r>
          </w:p>
          <w:p w14:paraId="65D4CC06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mikrobiologjike;</w:t>
            </w:r>
          </w:p>
          <w:p w14:paraId="2FA3DD4B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pjalmuesve të egër (veçanërisht larvat e bletëve dhe bletët e egra). Kushtet e përdorimit do të përfshijnë masa specifike për zbutjen e rrezikut, kur është e nevojshme.</w:t>
            </w:r>
          </w:p>
          <w:p w14:paraId="3C6D5B4A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4A5405F1" w14:textId="37697C05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një periudhë minimale kohore prej 2 dit</w:t>
            </w:r>
            <w:r w:rsidR="00264699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sh duhet të mbahet ndërmjet aplikimit të PMB-ve që përmbajnë Bacillus thuringiensis subsp aizawai GC-91 dhe 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 xml:space="preserve">vjeljes së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kulturave bujq</w:t>
            </w:r>
            <w:r w:rsidR="00FA17B6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sore të përdorura për konsum të freskët, përveç nëse të dhënat e disponueshme të mbetjeve të matura ose të vlerësuara tregojnë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nivelet e Bacillus thuringiensis subsp. aizawai GC-91 nën 105 CFU/g në vjelje.</w:t>
            </w:r>
          </w:p>
          <w:p w14:paraId="1474C326" w14:textId="61BF21FD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 në lidhje me të dhënat në të paktën një kulturë të ngrënshme përfaqësuese (d</w:t>
            </w:r>
            <w:r w:rsidR="00DB62D6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DB62D6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th. frutat farore, rrushi dhe domatet)</w:t>
            </w:r>
            <w:r w:rsidR="00DB62D6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aizawai GC-91 në pjesët e ngrënshme të bimëve që nga koha e aplikimit të një PMB-je që përmban këtë substancë aktive deri në kohën e vjeljes ose derisa nivelet e gjetura të jenë nën 105 CFU/gr, duke përfshirë të dhënat e qëndrueshmërisë së ruajtjes së mikroorganizmave midis marrjes së mostrave dhe analizës së numërimit të sporeve.</w:t>
            </w:r>
          </w:p>
        </w:tc>
      </w:tr>
      <w:tr w:rsidR="005362FE" w:rsidRPr="00A55DD4" w14:paraId="4B75262A" w14:textId="77777777" w:rsidTr="00300DA8">
        <w:trPr>
          <w:trHeight w:val="115"/>
        </w:trPr>
        <w:tc>
          <w:tcPr>
            <w:tcW w:w="166" w:type="pct"/>
          </w:tcPr>
          <w:p w14:paraId="6CD2C30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7.</w:t>
            </w:r>
          </w:p>
        </w:tc>
        <w:tc>
          <w:tcPr>
            <w:tcW w:w="1001" w:type="pct"/>
          </w:tcPr>
          <w:p w14:paraId="6C91575B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>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1ED140A9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aizawai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5CAA5DF2" w14:textId="77777777" w:rsidR="005362FE" w:rsidRPr="00A55DD4" w:rsidRDefault="005362FE" w:rsidP="002215DF">
            <w:pPr>
              <w:pStyle w:val="NoSpacing"/>
              <w:jc w:val="both"/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shtami ABTS-1857</w:t>
            </w:r>
          </w:p>
        </w:tc>
        <w:tc>
          <w:tcPr>
            <w:tcW w:w="417" w:type="pct"/>
          </w:tcPr>
          <w:p w14:paraId="0EE302DB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n.a.</w:t>
            </w:r>
          </w:p>
        </w:tc>
        <w:tc>
          <w:tcPr>
            <w:tcW w:w="627" w:type="pct"/>
          </w:tcPr>
          <w:p w14:paraId="35F13B4A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027C5469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76BF0167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18A5D4A5" w14:textId="637E5BB3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B95E69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kushtohet vëmendje e veçantë</w:t>
            </w:r>
            <w:r w:rsidR="00BD3701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2CDB6AAD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mundshëm;</w:t>
            </w:r>
          </w:p>
          <w:p w14:paraId="7898332E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mikrobiologjike;</w:t>
            </w:r>
          </w:p>
          <w:p w14:paraId="01F05EBB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- mbrojtjen e pjalmuesve të egër (veçanërisht larvat e bletëve dhe bletët e egra). Kushtet e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përdorimit do të përfshijnë masa specifike për zbutjen e rrezikut, kur është e nevojshme.</w:t>
            </w:r>
          </w:p>
          <w:p w14:paraId="7D6ED883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20751CB8" w14:textId="7BF7E138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një periudhë minimale kohore prej 2 dit</w:t>
            </w:r>
            <w:r w:rsidR="00BD3701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sh duhet të mbahet ndërmjet aplikimit të PMB-ve që përmbajnë Bacillus thuringiensis subsp. Aizawai shtami ABTS-1857 dhe vjeljes s</w:t>
            </w:r>
            <w:r w:rsidR="00277CA3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kulturave bujq</w:t>
            </w:r>
            <w:r w:rsidR="00277CA3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sore të përdorura për konsum të freskët, përveç nëse të dhënat e disponueshme të mbetjeve të matura ose të vlerësuara tregojnë nivelet e Bacillus thuringiensis subsp. Aizawai soji ABTS-1857 nën 105 CFU/gr në vjelje.</w:t>
            </w:r>
          </w:p>
          <w:p w14:paraId="47DB8474" w14:textId="2879079B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</w:t>
            </w:r>
            <w:r w:rsidR="00277CA3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="00973F23">
              <w:rPr>
                <w:rFonts w:ascii="Garamond" w:hAnsi="Garamond"/>
                <w:sz w:val="20"/>
                <w:szCs w:val="20"/>
                <w:lang w:val="sq-AL"/>
              </w:rPr>
              <w:t xml:space="preserve">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lidhje me të dhënat në të paktën një kulturë të ngrënshme përfaqësuese (d</w:t>
            </w:r>
            <w:r w:rsidR="007D762B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7D762B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th. speca dhe domate)</w:t>
            </w:r>
            <w:r w:rsidR="007D762B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Aizawai shtami ABTS-1857 në pjesët e ngrënshme të bimëve që nga koha e aplikimit të një PMB-je që përmban këtë substancë aktive deri në kohën e vjeljes ose derisa nivelet e gjetura të jenë nën 105 CFU/gr, duke përfshirë të dhënat e qëndrueshmërisë së ruajtjes së mikroorganizmave midis marrjes së mostrave dhe analizës së numërimit të sporeve.</w:t>
            </w:r>
          </w:p>
        </w:tc>
      </w:tr>
      <w:tr w:rsidR="005362FE" w:rsidRPr="00A55DD4" w14:paraId="33113CF2" w14:textId="77777777" w:rsidTr="00300DA8">
        <w:trPr>
          <w:trHeight w:val="103"/>
        </w:trPr>
        <w:tc>
          <w:tcPr>
            <w:tcW w:w="166" w:type="pct"/>
          </w:tcPr>
          <w:p w14:paraId="6845F2CC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lastRenderedPageBreak/>
              <w:t xml:space="preserve"> 8.</w:t>
            </w:r>
          </w:p>
        </w:tc>
        <w:tc>
          <w:tcPr>
            <w:tcW w:w="1001" w:type="pct"/>
          </w:tcPr>
          <w:p w14:paraId="5E805845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  <w:t xml:space="preserve"> Bacillus thuringiensis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7CC738F0" w14:textId="77777777" w:rsidR="005362FE" w:rsidRPr="00A55DD4" w:rsidRDefault="005362FE" w:rsidP="002215DF">
            <w:pPr>
              <w:pStyle w:val="NoSpacing"/>
              <w:jc w:val="both"/>
              <w:rPr>
                <w:rStyle w:val="oj-italic"/>
                <w:rFonts w:ascii="Garamond" w:hAnsi="Garamond"/>
                <w:b/>
                <w:i/>
                <w:iCs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subsp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. kurstaki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SA-11</w:t>
            </w:r>
          </w:p>
        </w:tc>
        <w:tc>
          <w:tcPr>
            <w:tcW w:w="417" w:type="pct"/>
          </w:tcPr>
          <w:p w14:paraId="01E04248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 xml:space="preserve"> n.a.</w:t>
            </w:r>
          </w:p>
        </w:tc>
        <w:tc>
          <w:tcPr>
            <w:tcW w:w="627" w:type="pct"/>
          </w:tcPr>
          <w:p w14:paraId="135B77A3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Jo papastërti relevante.</w:t>
            </w:r>
          </w:p>
        </w:tc>
        <w:tc>
          <w:tcPr>
            <w:tcW w:w="415" w:type="pct"/>
          </w:tcPr>
          <w:p w14:paraId="37095387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korrik 2023</w:t>
            </w:r>
          </w:p>
        </w:tc>
        <w:tc>
          <w:tcPr>
            <w:tcW w:w="500" w:type="pct"/>
          </w:tcPr>
          <w:p w14:paraId="7BD62C12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30 qershor 2038</w:t>
            </w:r>
          </w:p>
        </w:tc>
        <w:tc>
          <w:tcPr>
            <w:tcW w:w="1874" w:type="pct"/>
          </w:tcPr>
          <w:p w14:paraId="62659A0F" w14:textId="256793BD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Në vlerësimin e përgjithshëm do t</w:t>
            </w:r>
            <w:r w:rsidR="007D762B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kushtohet vëmendje e veçantë</w:t>
            </w:r>
            <w:r w:rsidR="007D762B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për:</w:t>
            </w:r>
          </w:p>
          <w:p w14:paraId="6ED42476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mbrojtjen e operatorëve dhe punëtorëve, duke marrë parasysh që mikroorganizmat në vetvete konsiderohen si sensibilizues të mundshëm;</w:t>
            </w:r>
          </w:p>
          <w:p w14:paraId="5B87BC1A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sigurimin nga prodhuesi për mirëmbajtjen e rreptë të kushteve mjedisore dhe analizën e kontrollit të cilësisë gjatë procesit të prodhimit, në mënyrë që të sigurohet përmbushja e kufijve të ndotjes mikrobiologjike.</w:t>
            </w:r>
          </w:p>
          <w:p w14:paraId="01480764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masat e mëposhtme për zbutjen e rrezikut:</w:t>
            </w:r>
          </w:p>
          <w:p w14:paraId="435047EB" w14:textId="5B028601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- një periudhë minimale kohore prej 2 dit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>ë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sh duhet të mbahet ndërmjet aplikimit të PMB-ve që përmbajnë Bacillus thuringiensis subsp kurstaki SA-11 dhe 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 xml:space="preserve">vjeljes së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kulturave </w:t>
            </w:r>
            <w:r w:rsidR="005927AB" w:rsidRPr="00A55DD4">
              <w:rPr>
                <w:rFonts w:ascii="Garamond" w:hAnsi="Garamond"/>
                <w:sz w:val="20"/>
                <w:szCs w:val="20"/>
                <w:lang w:val="sq-AL"/>
              </w:rPr>
              <w:t>bujqësore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të përdorura për konsum të freskët, përveç nëse të dhënat e disponueshme të mbetjeve të matura ose të vlerësuara tregojnë nivelet e Bacillus thuringiensis subsp. kurstaki SA-11 nën 105 CFU/gr, siç rekomandohet nga EFSA.</w:t>
            </w:r>
          </w:p>
          <w:p w14:paraId="79E3CBE0" w14:textId="3DFD4B85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Aplikanti duhet të paraqesë informacion shtesë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të dhënat në të paktën një kulturë të ngrënshme përfaqësuese (d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m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>.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th. në frutat farore dhe domatet)</w:t>
            </w:r>
            <w:r w:rsidR="005927AB">
              <w:rPr>
                <w:rFonts w:ascii="Garamond" w:hAnsi="Garamond"/>
                <w:sz w:val="20"/>
                <w:szCs w:val="20"/>
                <w:lang w:val="sq-AL"/>
              </w:rPr>
              <w:t>,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në lidhje me rënien e densitetit të sporeve të qëndrueshme të Bacillus thuringiensis subsp. kurstaki SA-11 në pjesët e ngrënshme të 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lastRenderedPageBreak/>
              <w:t>bimëve nga koha e aplikimit të një PMB-je që përmban këtë substancë aktive deri në kohën e vjeljes ose derisa nivelet e gjetura të jenë nën 105 CFU/gr, duke përfshirë të dhënat e qëndrueshmërisë së ruajtjes së mikroorganizmave midis marrjes së mostrave dhe analizës së numërimit të sporeve.</w:t>
            </w:r>
          </w:p>
        </w:tc>
      </w:tr>
    </w:tbl>
    <w:p w14:paraId="375BF166" w14:textId="77777777" w:rsidR="005362FE" w:rsidRPr="00A55DD4" w:rsidRDefault="005362FE" w:rsidP="005362FE">
      <w:pPr>
        <w:pStyle w:val="TEKSTIII"/>
        <w:rPr>
          <w:lang w:val="sq-AL"/>
        </w:rPr>
      </w:pPr>
    </w:p>
    <w:p w14:paraId="5D489598" w14:textId="18042210" w:rsidR="005362FE" w:rsidRPr="00A55DD4" w:rsidRDefault="005362FE" w:rsidP="005362FE">
      <w:pPr>
        <w:pStyle w:val="TEKSTIII"/>
        <w:rPr>
          <w:lang w:val="sq-AL"/>
        </w:rPr>
      </w:pPr>
      <w:r w:rsidRPr="00A55DD4">
        <w:rPr>
          <w:lang w:val="sq-AL"/>
        </w:rPr>
        <w:t>2.2</w:t>
      </w:r>
      <w:r w:rsidR="00433B7B" w:rsidRPr="00A55DD4">
        <w:rPr>
          <w:lang w:val="sq-AL"/>
        </w:rPr>
        <w:t xml:space="preserve"> </w:t>
      </w:r>
      <w:r w:rsidRPr="00A55DD4">
        <w:rPr>
          <w:lang w:val="sq-AL"/>
        </w:rPr>
        <w:t>LËNDËN VEPRUESE ME RISK TË ULËT SI MË POSHTË:</w:t>
      </w:r>
    </w:p>
    <w:p w14:paraId="449FC342" w14:textId="77777777" w:rsidR="005362FE" w:rsidRPr="00A55DD4" w:rsidRDefault="005362FE" w:rsidP="005362FE">
      <w:pPr>
        <w:pStyle w:val="ListParagraph"/>
        <w:tabs>
          <w:tab w:val="left" w:pos="360"/>
        </w:tabs>
        <w:spacing w:before="75" w:after="75" w:line="240" w:lineRule="auto"/>
        <w:ind w:left="360"/>
        <w:jc w:val="both"/>
        <w:rPr>
          <w:rFonts w:ascii="Garamond" w:hAnsi="Garamond"/>
          <w:color w:val="000000"/>
          <w:spacing w:val="-3"/>
          <w:sz w:val="20"/>
          <w:szCs w:val="20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990"/>
        <w:gridCol w:w="1263"/>
        <w:gridCol w:w="1598"/>
        <w:gridCol w:w="1012"/>
        <w:gridCol w:w="1225"/>
        <w:gridCol w:w="1756"/>
      </w:tblGrid>
      <w:tr w:rsidR="005362FE" w:rsidRPr="00A55DD4" w14:paraId="70412F7F" w14:textId="77777777" w:rsidTr="00404B1F">
        <w:trPr>
          <w:trHeight w:val="368"/>
        </w:trPr>
        <w:tc>
          <w:tcPr>
            <w:tcW w:w="166" w:type="pct"/>
            <w:hideMark/>
          </w:tcPr>
          <w:p w14:paraId="4012890D" w14:textId="77777777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Nr.</w:t>
            </w:r>
          </w:p>
        </w:tc>
        <w:tc>
          <w:tcPr>
            <w:tcW w:w="1251" w:type="pct"/>
            <w:hideMark/>
          </w:tcPr>
          <w:p w14:paraId="22209BE7" w14:textId="35F5C9E4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Emri i zakonshëm</w:t>
            </w:r>
          </w:p>
          <w:p w14:paraId="5809C123" w14:textId="77777777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dhe numri i identifikimit</w:t>
            </w:r>
          </w:p>
        </w:tc>
        <w:tc>
          <w:tcPr>
            <w:tcW w:w="459" w:type="pct"/>
            <w:hideMark/>
          </w:tcPr>
          <w:p w14:paraId="09433BDA" w14:textId="77777777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Emërtimi IUPAC</w:t>
            </w:r>
          </w:p>
        </w:tc>
        <w:tc>
          <w:tcPr>
            <w:tcW w:w="1041" w:type="pct"/>
            <w:hideMark/>
          </w:tcPr>
          <w:p w14:paraId="735BCF64" w14:textId="77777777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Pastërtia</w:t>
            </w:r>
          </w:p>
        </w:tc>
        <w:tc>
          <w:tcPr>
            <w:tcW w:w="458" w:type="pct"/>
          </w:tcPr>
          <w:p w14:paraId="24302E2F" w14:textId="77777777" w:rsidR="005362FE" w:rsidRPr="00A55DD4" w:rsidRDefault="005362FE" w:rsidP="00404B1F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miratimit</w:t>
            </w:r>
          </w:p>
        </w:tc>
        <w:tc>
          <w:tcPr>
            <w:tcW w:w="499" w:type="pct"/>
          </w:tcPr>
          <w:p w14:paraId="6768887B" w14:textId="77777777" w:rsidR="005362FE" w:rsidRPr="00A55DD4" w:rsidRDefault="005362FE" w:rsidP="00404B1F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Data e përfundimit</w:t>
            </w:r>
          </w:p>
        </w:tc>
        <w:tc>
          <w:tcPr>
            <w:tcW w:w="1125" w:type="pct"/>
            <w:hideMark/>
          </w:tcPr>
          <w:p w14:paraId="3048B47F" w14:textId="77777777" w:rsidR="005362FE" w:rsidRPr="00A55DD4" w:rsidRDefault="005362FE" w:rsidP="00404B1F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color w:val="000000"/>
                <w:sz w:val="20"/>
                <w:szCs w:val="20"/>
                <w:lang w:val="sq-AL"/>
              </w:rPr>
              <w:t>Dispozita specifike</w:t>
            </w:r>
          </w:p>
        </w:tc>
      </w:tr>
      <w:tr w:rsidR="005362FE" w:rsidRPr="00A55DD4" w14:paraId="01CDB5A7" w14:textId="77777777" w:rsidTr="00404B1F">
        <w:trPr>
          <w:trHeight w:val="440"/>
        </w:trPr>
        <w:tc>
          <w:tcPr>
            <w:tcW w:w="166" w:type="pct"/>
            <w:hideMark/>
          </w:tcPr>
          <w:p w14:paraId="0FC8004B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</w:t>
            </w: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t>1.</w:t>
            </w:r>
          </w:p>
        </w:tc>
        <w:tc>
          <w:tcPr>
            <w:tcW w:w="1251" w:type="pct"/>
            <w:hideMark/>
          </w:tcPr>
          <w:p w14:paraId="06BFF91E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b/>
                <w:sz w:val="20"/>
                <w:szCs w:val="20"/>
                <w:lang w:val="sq-AL"/>
              </w:rPr>
              <w:t>Quartz sand- Rera kuarcit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(nuk ka emër të </w:t>
            </w:r>
            <w:r w:rsidRPr="00A55DD4">
              <w:rPr>
                <w:rFonts w:ascii="Garamond" w:hAnsi="Garamond"/>
                <w:color w:val="000000"/>
                <w:sz w:val="20"/>
                <w:szCs w:val="20"/>
                <w:lang w:val="sq-AL"/>
              </w:rPr>
              <w:t>zakonshëm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 ISO)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1511"/>
            </w:tblGrid>
            <w:tr w:rsidR="005362FE" w:rsidRPr="00A55DD4" w14:paraId="71DB8DEC" w14:textId="77777777" w:rsidTr="00404B1F">
              <w:tc>
                <w:tcPr>
                  <w:tcW w:w="268" w:type="dxa"/>
                  <w:shd w:val="clear" w:color="auto" w:fill="auto"/>
                  <w:hideMark/>
                </w:tcPr>
                <w:p w14:paraId="0DC4AC66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(1)</w:t>
                  </w:r>
                </w:p>
              </w:tc>
              <w:tc>
                <w:tcPr>
                  <w:tcW w:w="1612" w:type="dxa"/>
                  <w:shd w:val="clear" w:color="auto" w:fill="auto"/>
                  <w:hideMark/>
                </w:tcPr>
                <w:p w14:paraId="4D1676E2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7631-86-9 (CAS)</w:t>
                  </w:r>
                </w:p>
              </w:tc>
            </w:tr>
          </w:tbl>
          <w:p w14:paraId="0EE07E10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vanish/>
                <w:sz w:val="20"/>
                <w:szCs w:val="20"/>
                <w:lang w:val="sq-A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525"/>
            </w:tblGrid>
            <w:tr w:rsidR="005362FE" w:rsidRPr="00A55DD4" w14:paraId="659A14DC" w14:textId="77777777" w:rsidTr="00404B1F">
              <w:tc>
                <w:tcPr>
                  <w:tcW w:w="253" w:type="dxa"/>
                  <w:shd w:val="clear" w:color="auto" w:fill="auto"/>
                  <w:hideMark/>
                </w:tcPr>
                <w:p w14:paraId="5550F1DF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(2)</w:t>
                  </w:r>
                </w:p>
              </w:tc>
              <w:tc>
                <w:tcPr>
                  <w:tcW w:w="1627" w:type="dxa"/>
                  <w:shd w:val="clear" w:color="auto" w:fill="auto"/>
                  <w:hideMark/>
                </w:tcPr>
                <w:p w14:paraId="1D5BCB7C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14808-60-7 (CAS)</w:t>
                  </w:r>
                </w:p>
              </w:tc>
            </w:tr>
          </w:tbl>
          <w:p w14:paraId="631F1A54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855 (CIPAC)</w:t>
            </w:r>
          </w:p>
          <w:p w14:paraId="3B4203A0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3371AC">
              <w:rPr>
                <w:rFonts w:ascii="Garamond" w:hAnsi="Garamond"/>
                <w:i/>
                <w:sz w:val="20"/>
                <w:szCs w:val="20"/>
                <w:lang w:val="sq-AL"/>
              </w:rPr>
              <w:t>[</w:t>
            </w:r>
            <w:r w:rsidRPr="003371AC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D</w:t>
            </w:r>
            <w:r w:rsidRPr="00A55DD4">
              <w:rPr>
                <w:rStyle w:val="oj-italic"/>
                <w:rFonts w:ascii="Garamond" w:hAnsi="Garamond"/>
                <w:i/>
                <w:iCs/>
                <w:sz w:val="20"/>
                <w:szCs w:val="20"/>
                <w:lang w:val="sq-AL"/>
              </w:rPr>
              <w:t>eri më tani ata janë treguar si:</w:t>
            </w: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 </w:t>
            </w:r>
          </w:p>
          <w:p w14:paraId="6E91D54F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CAS No: 14808-60-7 CIPAC No: n.a]</w:t>
            </w:r>
          </w:p>
        </w:tc>
        <w:tc>
          <w:tcPr>
            <w:tcW w:w="459" w:type="pct"/>
            <w:hideMark/>
          </w:tcPr>
          <w:tbl>
            <w:tblPr>
              <w:tblW w:w="10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786"/>
            </w:tblGrid>
            <w:tr w:rsidR="005362FE" w:rsidRPr="00A55DD4" w14:paraId="1014AB7A" w14:textId="77777777" w:rsidTr="00404B1F">
              <w:tc>
                <w:tcPr>
                  <w:tcW w:w="261" w:type="dxa"/>
                  <w:shd w:val="clear" w:color="auto" w:fill="auto"/>
                  <w:hideMark/>
                </w:tcPr>
                <w:p w14:paraId="04A9D97C" w14:textId="6B44246B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1</w:t>
                  </w:r>
                  <w:r w:rsidR="00C074E0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.</w:t>
                  </w:r>
                </w:p>
              </w:tc>
              <w:tc>
                <w:tcPr>
                  <w:tcW w:w="786" w:type="dxa"/>
                  <w:shd w:val="clear" w:color="auto" w:fill="auto"/>
                  <w:hideMark/>
                </w:tcPr>
                <w:p w14:paraId="03091FC6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Silicon dioxide</w:t>
                  </w:r>
                </w:p>
              </w:tc>
            </w:tr>
          </w:tbl>
          <w:p w14:paraId="040311D0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vanish/>
                <w:sz w:val="20"/>
                <w:szCs w:val="20"/>
                <w:lang w:val="sq-A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736"/>
            </w:tblGrid>
            <w:tr w:rsidR="005362FE" w:rsidRPr="00A55DD4" w14:paraId="2FFB85B0" w14:textId="77777777" w:rsidTr="00404B1F">
              <w:tc>
                <w:tcPr>
                  <w:tcW w:w="320" w:type="dxa"/>
                  <w:shd w:val="clear" w:color="auto" w:fill="auto"/>
                  <w:hideMark/>
                </w:tcPr>
                <w:p w14:paraId="04CEFC4F" w14:textId="24DB6CB0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2</w:t>
                  </w:r>
                  <w:r w:rsidR="00C074E0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.</w:t>
                  </w:r>
                </w:p>
              </w:tc>
              <w:tc>
                <w:tcPr>
                  <w:tcW w:w="745" w:type="dxa"/>
                  <w:shd w:val="clear" w:color="auto" w:fill="auto"/>
                  <w:hideMark/>
                </w:tcPr>
                <w:p w14:paraId="13B20877" w14:textId="77777777" w:rsidR="005362FE" w:rsidRPr="00A55DD4" w:rsidRDefault="005362FE" w:rsidP="002215DF">
                  <w:pPr>
                    <w:pStyle w:val="NoSpacing"/>
                    <w:jc w:val="both"/>
                    <w:rPr>
                      <w:rFonts w:ascii="Garamond" w:hAnsi="Garamond"/>
                      <w:sz w:val="20"/>
                      <w:szCs w:val="20"/>
                      <w:lang w:val="sq-AL"/>
                    </w:rPr>
                  </w:pPr>
                  <w:r w:rsidRPr="00A55DD4">
                    <w:rPr>
                      <w:rFonts w:ascii="Garamond" w:hAnsi="Garamond"/>
                      <w:sz w:val="20"/>
                      <w:szCs w:val="20"/>
                      <w:lang w:val="sq-AL"/>
                    </w:rPr>
                    <w:t>Quartz</w:t>
                  </w:r>
                </w:p>
              </w:tc>
            </w:tr>
          </w:tbl>
          <w:p w14:paraId="5F447D37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1041" w:type="pct"/>
            <w:hideMark/>
          </w:tcPr>
          <w:p w14:paraId="61847D5F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915 g/kg.</w:t>
            </w:r>
          </w:p>
          <w:p w14:paraId="32CA8FE9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Silici kristalor i papastër me një diametër grimcash ≤10 μm është një shqetësim toksikologjik dhe nuk duhet të kalojë një nivel prej 0,1 % të grimcave në materialin teknik. </w:t>
            </w:r>
          </w:p>
        </w:tc>
        <w:tc>
          <w:tcPr>
            <w:tcW w:w="458" w:type="pct"/>
          </w:tcPr>
          <w:p w14:paraId="1FFFB4CA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1 shtator 2023</w:t>
            </w:r>
          </w:p>
        </w:tc>
        <w:tc>
          <w:tcPr>
            <w:tcW w:w="499" w:type="pct"/>
          </w:tcPr>
          <w:p w14:paraId="2FC76660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 xml:space="preserve">31 gusht </w:t>
            </w:r>
          </w:p>
          <w:p w14:paraId="0FAF452C" w14:textId="77777777" w:rsidR="005362FE" w:rsidRPr="00A55DD4" w:rsidRDefault="005362FE" w:rsidP="002215DF">
            <w:pPr>
              <w:pStyle w:val="NoSpacing"/>
              <w:jc w:val="both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2038</w:t>
            </w:r>
          </w:p>
        </w:tc>
        <w:tc>
          <w:tcPr>
            <w:tcW w:w="1125" w:type="pct"/>
            <w:hideMark/>
          </w:tcPr>
          <w:p w14:paraId="51FD69B9" w14:textId="77777777" w:rsidR="005362FE" w:rsidRPr="00A55DD4" w:rsidRDefault="005362FE" w:rsidP="002215DF">
            <w:pPr>
              <w:pStyle w:val="NoSpacing"/>
              <w:rPr>
                <w:rFonts w:ascii="Garamond" w:hAnsi="Garamond"/>
                <w:sz w:val="20"/>
                <w:szCs w:val="20"/>
                <w:lang w:val="sq-AL"/>
              </w:rPr>
            </w:pPr>
            <w:r w:rsidRPr="00A55DD4">
              <w:rPr>
                <w:rFonts w:ascii="Garamond" w:hAnsi="Garamond"/>
                <w:sz w:val="20"/>
                <w:szCs w:val="20"/>
                <w:lang w:val="sq-AL"/>
              </w:rPr>
              <w:t>Kushtet e përdorimit do të përfshijnë masa për zbutjen e rrezikut, aty ku është e nevojshme.</w:t>
            </w:r>
          </w:p>
        </w:tc>
      </w:tr>
    </w:tbl>
    <w:p w14:paraId="749FF8A2" w14:textId="05D16086" w:rsidR="005362FE" w:rsidRPr="00A55DD4" w:rsidRDefault="005362FE" w:rsidP="00AE4D25">
      <w:pPr>
        <w:pStyle w:val="TEKSTIII"/>
        <w:rPr>
          <w:b/>
          <w:lang w:val="sq-AL"/>
        </w:rPr>
      </w:pPr>
    </w:p>
    <w:p w14:paraId="66DB2242" w14:textId="6123CE21" w:rsidR="00AD4E96" w:rsidRPr="00A55DD4" w:rsidRDefault="00F12A00" w:rsidP="00AD4E96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spacing w:val="-15"/>
          <w:sz w:val="24"/>
          <w:szCs w:val="24"/>
          <w:lang w:val="sq-AL"/>
        </w:rPr>
      </w:pPr>
      <w:r>
        <w:rPr>
          <w:rFonts w:ascii="Garamond" w:hAnsi="Garamond" w:cs="Times New Roman"/>
          <w:bCs/>
          <w:color w:val="000000"/>
          <w:spacing w:val="-15"/>
          <w:sz w:val="24"/>
          <w:szCs w:val="24"/>
          <w:lang w:val="sq-AL"/>
        </w:rPr>
        <w:t>3</w:t>
      </w:r>
      <w:r w:rsidR="00AD4E96" w:rsidRPr="00A55DD4">
        <w:rPr>
          <w:rFonts w:ascii="Garamond" w:hAnsi="Garamond" w:cs="Times New Roman"/>
          <w:bCs/>
          <w:color w:val="000000"/>
          <w:spacing w:val="-15"/>
          <w:sz w:val="24"/>
          <w:szCs w:val="24"/>
          <w:lang w:val="sq-AL"/>
        </w:rPr>
        <w:t>. ZGJATEN AFATET E REGJISTRIMIT PËR LËNDËT VEPRUESE SI MË POSHTË:</w:t>
      </w:r>
    </w:p>
    <w:p w14:paraId="3F1C8B20" w14:textId="0907565C" w:rsidR="00AD4E96" w:rsidRPr="00A55DD4" w:rsidRDefault="00404B1F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 xml:space="preserve">-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31 janar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2024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45122D75" w14:textId="74018B49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Penflufen</w:t>
      </w:r>
      <w:r w:rsidR="00433B7B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6566AB62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5E94E921" w14:textId="0C268A5C" w:rsidR="00AD4E96" w:rsidRPr="00A55DD4" w:rsidRDefault="00404B1F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30 qershor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2024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11C077F3" w14:textId="6287165D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1. Pyridalyl </w:t>
      </w:r>
    </w:p>
    <w:p w14:paraId="1FC65A67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6605A3D4" w14:textId="5990CA3D" w:rsidR="00AD4E96" w:rsidRPr="00A55DD4" w:rsidRDefault="00404B1F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31 gusht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2024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016AED63" w14:textId="6B1F82AE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Bacillus pumilus QST 2808</w:t>
      </w:r>
      <w:r w:rsidR="00433B7B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7E219B9E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187DB950" w14:textId="49AB2E01" w:rsidR="00AD4E96" w:rsidRPr="00A55DD4" w:rsidRDefault="00404B1F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-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15 nëntor 2024:</w:t>
      </w:r>
    </w:p>
    <w:p w14:paraId="2A3AF26D" w14:textId="548E7731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S-metolachlor</w:t>
      </w:r>
    </w:p>
    <w:p w14:paraId="32731A90" w14:textId="4F8B124E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Ethephon</w:t>
      </w:r>
    </w:p>
    <w:p w14:paraId="04CECD6C" w14:textId="25EF1448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Captan</w:t>
      </w:r>
    </w:p>
    <w:p w14:paraId="0CAB6A2D" w14:textId="26E12813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Benthiavalicarb</w:t>
      </w:r>
    </w:p>
    <w:p w14:paraId="2714EDD5" w14:textId="77777777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4 (katër) lëndë vepruese.</w:t>
      </w:r>
    </w:p>
    <w:p w14:paraId="4B22C680" w14:textId="262C38EE" w:rsidR="00AD4E96" w:rsidRPr="00A55DD4" w:rsidRDefault="00D70F95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15 dhjetor 2024:</w:t>
      </w:r>
    </w:p>
    <w:p w14:paraId="1025F571" w14:textId="7A9E5E3F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Aluminium ammonium sulphate</w:t>
      </w:r>
    </w:p>
    <w:p w14:paraId="1B45BAD5" w14:textId="1C3C4DC6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>2. Aluminium silicate</w:t>
      </w:r>
    </w:p>
    <w:p w14:paraId="5D1D3B7E" w14:textId="4AE372CB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Fat distillation residues/</w:t>
      </w:r>
      <w:r w:rsidR="006A4AE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mbetjet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e distilimit të yndyrës</w:t>
      </w:r>
    </w:p>
    <w:p w14:paraId="458040DE" w14:textId="2D78F451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Fatty acids C7 to C20/</w:t>
      </w:r>
      <w:r w:rsidR="006A4AE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acidet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yndyrore C7 deri në C20</w:t>
      </w:r>
    </w:p>
    <w:p w14:paraId="6445544C" w14:textId="18D84653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5. Plant oils/rape seed oil/</w:t>
      </w:r>
      <w:r w:rsidR="006A4AE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vajra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bimore/vaj farash </w:t>
      </w:r>
      <w:r w:rsidR="001011A0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bërsi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rrushi</w:t>
      </w:r>
    </w:p>
    <w:p w14:paraId="52BFC4AB" w14:textId="77777777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5 (pesë) lëndë vepruese.</w:t>
      </w:r>
    </w:p>
    <w:p w14:paraId="26A85391" w14:textId="1457D38C" w:rsidR="00AD4E96" w:rsidRPr="00A55DD4" w:rsidRDefault="00D70F95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shkurt 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29AAF87" w14:textId="05C4D882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Phenmedipham</w:t>
      </w:r>
    </w:p>
    <w:p w14:paraId="234C9D52" w14:textId="3FB4F8EF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Milbemectin</w:t>
      </w:r>
    </w:p>
    <w:p w14:paraId="4D3C0D02" w14:textId="5C924D30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Folpet</w:t>
      </w:r>
    </w:p>
    <w:p w14:paraId="13CBE4BD" w14:textId="12370CC2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Formetanate</w:t>
      </w:r>
    </w:p>
    <w:p w14:paraId="1012E66D" w14:textId="127F5601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5. Dimethomorph</w:t>
      </w:r>
    </w:p>
    <w:p w14:paraId="401EAD2D" w14:textId="20004277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6. Metribuzin</w:t>
      </w:r>
      <w:r w:rsidR="00433B7B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73E67F6C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6 (gjashtë) lëndë vepruese.</w:t>
      </w:r>
    </w:p>
    <w:p w14:paraId="1F4E7824" w14:textId="3227DE73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 mars 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063BEDE" w14:textId="359AE4E3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1. Halosulfuron-methyl </w:t>
      </w:r>
    </w:p>
    <w:p w14:paraId="2D9E108F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4881441B" w14:textId="5ED668E5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prill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21E9BBF" w14:textId="5BB37688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Hydrolysed proteins/</w:t>
      </w:r>
      <w:r w:rsidRPr="00A55DD4">
        <w:rPr>
          <w:rFonts w:ascii="Garamond" w:hAnsi="Garamond" w:cs="Times New Roman"/>
          <w:color w:val="000000"/>
          <w:spacing w:val="-15"/>
          <w:sz w:val="24"/>
          <w:szCs w:val="24"/>
          <w:lang w:val="sq-AL"/>
        </w:rPr>
        <w:t>Proteinat e hidrolizuara</w:t>
      </w:r>
    </w:p>
    <w:p w14:paraId="0B49C35C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1C79178E" w14:textId="58ABDDCC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qershor 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6C896D10" w14:textId="031A99C8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Propamocarb</w:t>
      </w:r>
    </w:p>
    <w:p w14:paraId="6F29EDC7" w14:textId="0A5E969B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Pirimiphos-methyl</w:t>
      </w:r>
    </w:p>
    <w:p w14:paraId="3693EBF2" w14:textId="2F175350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Fluoxastrobin</w:t>
      </w:r>
    </w:p>
    <w:p w14:paraId="63CF781B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3 (tre) lëndë vepruese.</w:t>
      </w:r>
    </w:p>
    <w:p w14:paraId="754906CC" w14:textId="4FB92289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korrik 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0D96A664" w14:textId="67CA08B4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Gibberellic acid</w:t>
      </w:r>
    </w:p>
    <w:p w14:paraId="6779FB8E" w14:textId="041EE1CB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Gibberellinat</w:t>
      </w:r>
    </w:p>
    <w:p w14:paraId="4DB45D63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59F128CE" w14:textId="1DA47FF4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gusht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13B75D86" w14:textId="06746356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Prothioconazole</w:t>
      </w:r>
    </w:p>
    <w:p w14:paraId="7C8BACBA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0FFF5BBE" w14:textId="5503507F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 tetor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526F53ED" w14:textId="24D54029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Trichoderma asperellum strain T34</w:t>
      </w:r>
    </w:p>
    <w:p w14:paraId="13F38504" w14:textId="597BFD2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Cyflumetofen</w:t>
      </w:r>
    </w:p>
    <w:p w14:paraId="00429CBC" w14:textId="2699DBA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Trichoderma atroviride strain I-1237</w:t>
      </w:r>
    </w:p>
    <w:p w14:paraId="16838734" w14:textId="5D0F946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Helicoverpa armigera nucleopolyhedrovirus</w:t>
      </w:r>
    </w:p>
    <w:p w14:paraId="4EE6A47E" w14:textId="2827C6D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5. Spodoptera littoralis nucleopolyhedrovirus</w:t>
      </w:r>
    </w:p>
    <w:p w14:paraId="01414C60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5 (pesë) lëndë vepruese.</w:t>
      </w:r>
    </w:p>
    <w:p w14:paraId="49FA8AD5" w14:textId="5376133C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0 nëntor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BACF66E" w14:textId="0702324B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Metam</w:t>
      </w:r>
    </w:p>
    <w:p w14:paraId="2576A6C4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5E0F6352" w14:textId="101F0BE0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 dhjetor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2025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0F6231DC" w14:textId="7915006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Ametoctradin</w:t>
      </w:r>
    </w:p>
    <w:p w14:paraId="451F7C12" w14:textId="3BB2C3A6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Mandipropamid</w:t>
      </w:r>
    </w:p>
    <w:p w14:paraId="63E78C63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4CFFDD0D" w14:textId="205C61D6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 janar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0ED021DA" w14:textId="3C1C514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Extract from tea tree/</w:t>
      </w:r>
      <w:r w:rsidR="00C555C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ekstrakt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nga pema e çajit</w:t>
      </w:r>
    </w:p>
    <w:p w14:paraId="61AF71C6" w14:textId="5BFBCC3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Plant oils/spear mint oil/</w:t>
      </w:r>
      <w:r w:rsidR="00C555C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vajra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bimore/vaj menteje </w:t>
      </w:r>
      <w:r w:rsidRPr="004C7F2D">
        <w:rPr>
          <w:rFonts w:ascii="Garamond" w:hAnsi="Garamond" w:cs="Times New Roman"/>
          <w:color w:val="000000"/>
          <w:sz w:val="24"/>
          <w:szCs w:val="24"/>
          <w:lang w:val="sq-AL"/>
        </w:rPr>
        <w:t>shtiz</w:t>
      </w:r>
      <w:r w:rsidR="00C555C1" w:rsidRPr="004C7F2D">
        <w:rPr>
          <w:rFonts w:ascii="Garamond" w:hAnsi="Garamond" w:cs="Times New Roman"/>
          <w:color w:val="000000"/>
          <w:sz w:val="24"/>
          <w:szCs w:val="24"/>
          <w:lang w:val="sq-AL"/>
        </w:rPr>
        <w:t>e</w:t>
      </w:r>
    </w:p>
    <w:p w14:paraId="22ACA102" w14:textId="3F97B83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>3. Plant oils/clove oil/</w:t>
      </w:r>
      <w:r w:rsidR="00C555C1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vajra 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bimore/vaj karafili</w:t>
      </w:r>
    </w:p>
    <w:p w14:paraId="53A988AA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3 (tre) lëndë vepruese.</w:t>
      </w:r>
    </w:p>
    <w:p w14:paraId="7CC53CA3" w14:textId="1E2008F6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color w:val="000000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28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 shkurt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35B429AF" w14:textId="0B1242AC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Maltodextrin</w:t>
      </w:r>
    </w:p>
    <w:p w14:paraId="5BAFEAC6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79CCE0C4" w14:textId="13ED517A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-</w:t>
      </w:r>
      <w:r w:rsidR="006C79CA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mars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43D7A614" w14:textId="026AF5E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Indolylbutyric acid</w:t>
      </w:r>
    </w:p>
    <w:p w14:paraId="430B363E" w14:textId="06648F05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Flurochloridone</w:t>
      </w:r>
    </w:p>
    <w:p w14:paraId="202CAE5C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0CF5096E" w14:textId="62BAB7DA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prill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F7787EB" w14:textId="7B16EA9A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Boscalid</w:t>
      </w:r>
    </w:p>
    <w:p w14:paraId="17A61CBD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720E2A12" w14:textId="25856E5D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maj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470F45E" w14:textId="7F82427E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Penoxsulam</w:t>
      </w:r>
    </w:p>
    <w:p w14:paraId="1C5B8F7F" w14:textId="34D412AC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Proquinazid</w:t>
      </w:r>
    </w:p>
    <w:p w14:paraId="7F9CAA57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481350FB" w14:textId="735C8096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qershor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28167DBC" w14:textId="7ADD42BD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Pyrethrinat</w:t>
      </w:r>
    </w:p>
    <w:p w14:paraId="01E252E4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28E3B9D8" w14:textId="15845BAA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15 gusht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435D6D75" w14:textId="3307C413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Cymoxanil</w:t>
      </w:r>
    </w:p>
    <w:p w14:paraId="723D011C" w14:textId="4D5DB576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Tebuconazole</w:t>
      </w:r>
    </w:p>
    <w:p w14:paraId="296086AF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30E51AFF" w14:textId="23973D27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>Deri më 3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1 gusht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60497549" w14:textId="5E4AA390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Fluopicolide</w:t>
      </w:r>
    </w:p>
    <w:p w14:paraId="7D256AC0" w14:textId="552CA012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Cycloxydim</w:t>
      </w:r>
    </w:p>
    <w:p w14:paraId="1F7D43E9" w14:textId="6F48A734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Hymexazol</w:t>
      </w:r>
    </w:p>
    <w:p w14:paraId="23A2F45F" w14:textId="2158E806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Clethodim</w:t>
      </w:r>
    </w:p>
    <w:p w14:paraId="3D85B93A" w14:textId="6013427C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5. Dazomet</w:t>
      </w:r>
    </w:p>
    <w:p w14:paraId="4E1FC24E" w14:textId="0505DB4C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6. Metaldehyde</w:t>
      </w:r>
    </w:p>
    <w:p w14:paraId="336E1B2E" w14:textId="2D5A847F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7. Fenazaquin</w:t>
      </w:r>
    </w:p>
    <w:p w14:paraId="22157C52" w14:textId="1A79831A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8. Diclofop</w:t>
      </w:r>
    </w:p>
    <w:p w14:paraId="2D4F09A4" w14:textId="2461B156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9. Paclobutrazol</w:t>
      </w:r>
    </w:p>
    <w:p w14:paraId="4C31A6BA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9 (nëntë) lëndë vepruese.</w:t>
      </w:r>
    </w:p>
    <w:p w14:paraId="3639700F" w14:textId="50823623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30 shtator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548CC77D" w14:textId="2C772224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Metalaxyl</w:t>
      </w:r>
    </w:p>
    <w:p w14:paraId="37CDF0A9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 (një) lëndë vepruese.</w:t>
      </w:r>
    </w:p>
    <w:p w14:paraId="6B6D3941" w14:textId="416242A4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31 tetor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583A60C2" w14:textId="07AE49AB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Beflubutamid</w:t>
      </w:r>
    </w:p>
    <w:p w14:paraId="529ECCEA" w14:textId="538B725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Aclonifen</w:t>
      </w:r>
    </w:p>
    <w:p w14:paraId="31281010" w14:textId="6453E64B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Metazachlor</w:t>
      </w:r>
    </w:p>
    <w:p w14:paraId="68FD1498" w14:textId="0C3B9E52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3 (tr</w:t>
      </w:r>
      <w:r w:rsidR="00C555C1">
        <w:rPr>
          <w:rFonts w:ascii="Garamond" w:hAnsi="Garamond" w:cs="Times New Roman"/>
          <w:color w:val="000000"/>
          <w:sz w:val="24"/>
          <w:szCs w:val="24"/>
          <w:lang w:val="sq-AL"/>
        </w:rPr>
        <w:t>i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) lëndë vepruese.</w:t>
      </w:r>
    </w:p>
    <w:p w14:paraId="2BAAAF3F" w14:textId="218D2A88" w:rsidR="00AD4E96" w:rsidRPr="00A55DD4" w:rsidRDefault="00D70F95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Symbol"/>
          <w:spacing w:val="-15"/>
          <w:sz w:val="24"/>
          <w:szCs w:val="24"/>
          <w:lang w:val="sq-AL"/>
        </w:rPr>
        <w:t>-</w:t>
      </w:r>
      <w:r w:rsidR="00AD4E96" w:rsidRPr="00A55DD4">
        <w:rPr>
          <w:rFonts w:ascii="Garamond" w:hAnsi="Garamond" w:cs="Symbol"/>
          <w:spacing w:val="-15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spacing w:val="-15"/>
          <w:sz w:val="24"/>
          <w:szCs w:val="24"/>
          <w:lang w:val="sq-AL"/>
        </w:rPr>
        <w:t xml:space="preserve">Deri më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30 nëntor</w:t>
      </w:r>
      <w:r w:rsidR="00AD4E96"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AD4E96"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2026</w:t>
      </w:r>
      <w:r w:rsidR="00AD4E96" w:rsidRPr="00A55DD4">
        <w:rPr>
          <w:rFonts w:ascii="Garamond" w:hAnsi="Garamond" w:cs="Times New Roman"/>
          <w:b/>
          <w:bCs/>
          <w:color w:val="000000"/>
          <w:spacing w:val="-15"/>
          <w:sz w:val="24"/>
          <w:szCs w:val="24"/>
          <w:lang w:val="sq-AL"/>
        </w:rPr>
        <w:t>:</w:t>
      </w:r>
    </w:p>
    <w:p w14:paraId="4E11CD8A" w14:textId="1CE8EB0A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1. Acetic acid</w:t>
      </w:r>
    </w:p>
    <w:p w14:paraId="1C07162E" w14:textId="0BA625C2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2. Ethylene</w:t>
      </w:r>
    </w:p>
    <w:p w14:paraId="56EA9D87" w14:textId="14941502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3. Calcium carbide</w:t>
      </w:r>
    </w:p>
    <w:p w14:paraId="01AA3471" w14:textId="0495DBC0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4. Iron sulphate/Sulfat hekuri</w:t>
      </w:r>
    </w:p>
    <w:p w14:paraId="79AA71D8" w14:textId="445E84B1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5. Urea</w:t>
      </w:r>
    </w:p>
    <w:p w14:paraId="1ADE5E6A" w14:textId="43481F44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>6. Aluminium phosphide</w:t>
      </w:r>
    </w:p>
    <w:p w14:paraId="5FD8B996" w14:textId="13BE854E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7. Magnesium phosphide</w:t>
      </w:r>
    </w:p>
    <w:p w14:paraId="1854885C" w14:textId="7866FFDD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8. Dodemorph</w:t>
      </w:r>
    </w:p>
    <w:p w14:paraId="7DFFF53B" w14:textId="2908180E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9. 2,5-Dichlorobenzoic acid methylester</w:t>
      </w:r>
    </w:p>
    <w:p w14:paraId="5F6FC108" w14:textId="3B9DF152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10. Metamitron</w:t>
      </w:r>
    </w:p>
    <w:p w14:paraId="5D4D3F9F" w14:textId="66344FFF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11. Sulcotrione</w:t>
      </w:r>
    </w:p>
    <w:p w14:paraId="778EB04B" w14:textId="6236F10C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pacing w:val="-15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12. Flonicamid (IKI-220)</w:t>
      </w:r>
    </w:p>
    <w:p w14:paraId="380E1EEA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12 (dymbëdhjetë) lëndë vepruese.</w:t>
      </w:r>
    </w:p>
    <w:p w14:paraId="66F7C43F" w14:textId="77777777" w:rsidR="00AD4E96" w:rsidRPr="00C555C1" w:rsidRDefault="00AD4E96" w:rsidP="00C555C1">
      <w:pPr>
        <w:spacing w:after="0"/>
        <w:ind w:firstLine="288"/>
        <w:rPr>
          <w:rFonts w:ascii="Garamond" w:hAnsi="Garamond"/>
          <w:b/>
          <w:i/>
          <w:sz w:val="24"/>
          <w:szCs w:val="24"/>
          <w:lang w:val="sq-AL"/>
        </w:rPr>
      </w:pPr>
      <w:r w:rsidRPr="00C555C1">
        <w:rPr>
          <w:rFonts w:ascii="Garamond" w:hAnsi="Garamond"/>
          <w:b/>
          <w:i/>
          <w:sz w:val="24"/>
          <w:szCs w:val="24"/>
          <w:lang w:val="sq-AL"/>
        </w:rPr>
        <w:t>Totali: 71 (shtatëdhjetë e një) lëndë vepruese.</w:t>
      </w:r>
    </w:p>
    <w:p w14:paraId="6D8E8D6A" w14:textId="1ABB9EF1" w:rsidR="00AD4E96" w:rsidRPr="00A55DD4" w:rsidRDefault="00AD4E96" w:rsidP="00D70F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4. HIQEN LËNDËT VEPRUESE SI M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A55DD4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 POSHT</w:t>
      </w: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A55DD4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:</w:t>
      </w:r>
    </w:p>
    <w:p w14:paraId="33F2E9F8" w14:textId="1CEA630C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1. Ipconazole </w:t>
      </w:r>
    </w:p>
    <w:p w14:paraId="09069F45" w14:textId="0807FF1B" w:rsidR="00AD4E96" w:rsidRPr="00A55DD4" w:rsidRDefault="00AD4E96" w:rsidP="00AD4E96">
      <w:pPr>
        <w:pStyle w:val="TEKSTIII"/>
        <w:rPr>
          <w:lang w:val="sq-AL"/>
        </w:rPr>
      </w:pPr>
      <w:r w:rsidRPr="00A55DD4">
        <w:rPr>
          <w:lang w:val="sq-AL"/>
        </w:rPr>
        <w:t>Të kryhet çregjistrimi i produkteve të mbrojtjes së bimëve që përmbajnë Ipconazole brenda datës 31 gusht 2023.</w:t>
      </w:r>
    </w:p>
    <w:p w14:paraId="5E18DB2D" w14:textId="091BBC00" w:rsidR="00AD4E96" w:rsidRPr="00A55DD4" w:rsidRDefault="00AD4E96" w:rsidP="00AD4E96">
      <w:pPr>
        <w:pStyle w:val="TEKSTIII"/>
        <w:rPr>
          <w:lang w:val="sq-AL"/>
        </w:rPr>
      </w:pPr>
      <w:r w:rsidRPr="00A55DD4">
        <w:rPr>
          <w:lang w:val="sq-AL"/>
        </w:rPr>
        <w:t>Heqja nga tregu i produkteve të mbrojtjes së bimëve që përmbajnë Ipconazole të përfundojë brenda datës 29 shkurt 2024.</w:t>
      </w:r>
    </w:p>
    <w:p w14:paraId="7ED1D61C" w14:textId="2AC8B439" w:rsidR="00AD4E96" w:rsidRPr="00A55DD4" w:rsidRDefault="00AD4E96" w:rsidP="00AD4E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A55DD4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 xml:space="preserve">2. Dimoxystrobin </w:t>
      </w:r>
    </w:p>
    <w:p w14:paraId="530FDC4B" w14:textId="77777777" w:rsidR="00AD4E96" w:rsidRPr="00A55DD4" w:rsidRDefault="00AD4E96" w:rsidP="00AD4E96">
      <w:pPr>
        <w:pStyle w:val="TEKSTIII"/>
        <w:rPr>
          <w:lang w:val="sq-AL"/>
        </w:rPr>
      </w:pPr>
      <w:r w:rsidRPr="00A55DD4">
        <w:rPr>
          <w:lang w:val="sq-AL"/>
        </w:rPr>
        <w:t>Lënda vepruese Dimoxystrobin nuk është e rinovuar.</w:t>
      </w:r>
    </w:p>
    <w:p w14:paraId="22830749" w14:textId="35D25DA4" w:rsidR="00AD4E96" w:rsidRPr="00A55DD4" w:rsidRDefault="00AD4E96" w:rsidP="00AD4E96">
      <w:pPr>
        <w:pStyle w:val="TEKSTIII"/>
        <w:rPr>
          <w:lang w:val="sq-AL"/>
        </w:rPr>
      </w:pPr>
      <w:r w:rsidRPr="00A55DD4">
        <w:rPr>
          <w:lang w:val="sq-AL"/>
        </w:rPr>
        <w:t>Të kryhet çregjistrimi i produkteve të mbrojtjes së bimëve që përmbajnë Dimoxystrobin brenda datës 31 janar 2024.</w:t>
      </w:r>
    </w:p>
    <w:p w14:paraId="17BB2D6D" w14:textId="625F2435" w:rsidR="00AD4E96" w:rsidRPr="00A55DD4" w:rsidRDefault="00AD4E96" w:rsidP="00AD4E96">
      <w:pPr>
        <w:pStyle w:val="TEKSTIII"/>
        <w:rPr>
          <w:lang w:val="sq-AL"/>
        </w:rPr>
      </w:pPr>
      <w:r w:rsidRPr="00A55DD4">
        <w:rPr>
          <w:lang w:val="sq-AL"/>
        </w:rPr>
        <w:t>Heqja nga tregu i produkteve të mbrojtjes së bimëve që përmbajnë Dimoxystrobin të përfundojë brenda datës 31 korrik 2024.</w:t>
      </w:r>
    </w:p>
    <w:p w14:paraId="0C3CB224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A55DD4">
        <w:rPr>
          <w:rFonts w:ascii="Garamond" w:hAnsi="Garamond" w:cs="Times New Roman"/>
          <w:color w:val="000000"/>
          <w:sz w:val="24"/>
          <w:szCs w:val="24"/>
          <w:lang w:val="sq-AL"/>
        </w:rPr>
        <w:t>Gjithsej: 2 (dy) lëndë vepruese.</w:t>
      </w:r>
    </w:p>
    <w:p w14:paraId="0F8AB66B" w14:textId="77777777" w:rsidR="00AD4E96" w:rsidRPr="00A55DD4" w:rsidRDefault="00AD4E96" w:rsidP="00AD4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C70A3CF" w14:textId="77777777" w:rsidR="00AD4E96" w:rsidRPr="00A55DD4" w:rsidRDefault="00AD4E96" w:rsidP="00AD4E96">
      <w:pPr>
        <w:pStyle w:val="TEKSTIII"/>
        <w:rPr>
          <w:b/>
          <w:szCs w:val="24"/>
          <w:lang w:val="sq-AL"/>
        </w:rPr>
      </w:pPr>
    </w:p>
    <w:sectPr w:rsidR="00AD4E96" w:rsidRPr="00A5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8EA"/>
    <w:multiLevelType w:val="hybridMultilevel"/>
    <w:tmpl w:val="387EB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925"/>
    <w:multiLevelType w:val="hybridMultilevel"/>
    <w:tmpl w:val="60EA650E"/>
    <w:lvl w:ilvl="0" w:tplc="631ED9A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0F0702"/>
    <w:multiLevelType w:val="multilevel"/>
    <w:tmpl w:val="7A00D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F"/>
    <w:rsid w:val="000A3F8E"/>
    <w:rsid w:val="000D1B37"/>
    <w:rsid w:val="000F74B6"/>
    <w:rsid w:val="001011A0"/>
    <w:rsid w:val="00117387"/>
    <w:rsid w:val="001531D7"/>
    <w:rsid w:val="00191616"/>
    <w:rsid w:val="002215DF"/>
    <w:rsid w:val="0022425D"/>
    <w:rsid w:val="00252A1C"/>
    <w:rsid w:val="002634F2"/>
    <w:rsid w:val="00264699"/>
    <w:rsid w:val="00272F86"/>
    <w:rsid w:val="00276A42"/>
    <w:rsid w:val="00277CA3"/>
    <w:rsid w:val="002B072F"/>
    <w:rsid w:val="00300DA8"/>
    <w:rsid w:val="00302E68"/>
    <w:rsid w:val="00322277"/>
    <w:rsid w:val="003223CA"/>
    <w:rsid w:val="003371AC"/>
    <w:rsid w:val="0037163E"/>
    <w:rsid w:val="003820B8"/>
    <w:rsid w:val="00404B1F"/>
    <w:rsid w:val="00433B7B"/>
    <w:rsid w:val="00437AF6"/>
    <w:rsid w:val="004436DE"/>
    <w:rsid w:val="00495544"/>
    <w:rsid w:val="004C7F2D"/>
    <w:rsid w:val="004F08D0"/>
    <w:rsid w:val="004F2163"/>
    <w:rsid w:val="004F3BBE"/>
    <w:rsid w:val="00510F63"/>
    <w:rsid w:val="005362FE"/>
    <w:rsid w:val="00543771"/>
    <w:rsid w:val="005927AB"/>
    <w:rsid w:val="005A540E"/>
    <w:rsid w:val="00612D27"/>
    <w:rsid w:val="00670331"/>
    <w:rsid w:val="00676623"/>
    <w:rsid w:val="006A4AE1"/>
    <w:rsid w:val="006C79CA"/>
    <w:rsid w:val="006E077A"/>
    <w:rsid w:val="00714C89"/>
    <w:rsid w:val="00721357"/>
    <w:rsid w:val="0074025C"/>
    <w:rsid w:val="007554EE"/>
    <w:rsid w:val="007A461B"/>
    <w:rsid w:val="007B2997"/>
    <w:rsid w:val="007D762B"/>
    <w:rsid w:val="007F6539"/>
    <w:rsid w:val="00862510"/>
    <w:rsid w:val="00884F87"/>
    <w:rsid w:val="008C7EE7"/>
    <w:rsid w:val="009033AC"/>
    <w:rsid w:val="00956F02"/>
    <w:rsid w:val="00973F23"/>
    <w:rsid w:val="00992F9A"/>
    <w:rsid w:val="00997076"/>
    <w:rsid w:val="00A062AE"/>
    <w:rsid w:val="00A55DD4"/>
    <w:rsid w:val="00A61915"/>
    <w:rsid w:val="00AD4E96"/>
    <w:rsid w:val="00AD6F91"/>
    <w:rsid w:val="00AE4D25"/>
    <w:rsid w:val="00B24495"/>
    <w:rsid w:val="00B34ACF"/>
    <w:rsid w:val="00B74A7F"/>
    <w:rsid w:val="00B95116"/>
    <w:rsid w:val="00B95E69"/>
    <w:rsid w:val="00BD3701"/>
    <w:rsid w:val="00BF30E1"/>
    <w:rsid w:val="00C074E0"/>
    <w:rsid w:val="00C555C1"/>
    <w:rsid w:val="00D07D4E"/>
    <w:rsid w:val="00D11547"/>
    <w:rsid w:val="00D70F95"/>
    <w:rsid w:val="00D97763"/>
    <w:rsid w:val="00D97F66"/>
    <w:rsid w:val="00DB1DC3"/>
    <w:rsid w:val="00DB62D6"/>
    <w:rsid w:val="00DF5095"/>
    <w:rsid w:val="00E345E5"/>
    <w:rsid w:val="00E462E5"/>
    <w:rsid w:val="00E6677D"/>
    <w:rsid w:val="00F12A00"/>
    <w:rsid w:val="00F23FBB"/>
    <w:rsid w:val="00FA17B6"/>
    <w:rsid w:val="00FA1F77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B2FA"/>
  <w15:chartTrackingRefBased/>
  <w15:docId w15:val="{29CDDA94-0C5D-4FE1-BF38-C2F7F56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531D7"/>
  </w:style>
  <w:style w:type="paragraph" w:styleId="NoSpacing">
    <w:name w:val="No Spacing"/>
    <w:link w:val="NoSpacingChar"/>
    <w:uiPriority w:val="1"/>
    <w:qFormat/>
    <w:rsid w:val="001531D7"/>
    <w:pPr>
      <w:spacing w:after="0" w:line="240" w:lineRule="auto"/>
    </w:pPr>
  </w:style>
  <w:style w:type="character" w:customStyle="1" w:styleId="hps">
    <w:name w:val="hps"/>
    <w:basedOn w:val="DefaultParagraphFont"/>
    <w:rsid w:val="001531D7"/>
  </w:style>
  <w:style w:type="paragraph" w:styleId="ListParagraph">
    <w:name w:val="List Paragraph"/>
    <w:basedOn w:val="Normal"/>
    <w:uiPriority w:val="34"/>
    <w:qFormat/>
    <w:rsid w:val="001531D7"/>
    <w:pPr>
      <w:ind w:left="720"/>
      <w:contextualSpacing/>
    </w:pPr>
  </w:style>
  <w:style w:type="paragraph" w:customStyle="1" w:styleId="TEKSTIII">
    <w:name w:val="TEKSTIII"/>
    <w:basedOn w:val="Normal"/>
    <w:qFormat/>
    <w:rsid w:val="00AE4D25"/>
    <w:pPr>
      <w:spacing w:after="0" w:line="240" w:lineRule="auto"/>
      <w:ind w:firstLine="284"/>
      <w:jc w:val="both"/>
    </w:pPr>
    <w:rPr>
      <w:rFonts w:ascii="Garamond" w:hAnsi="Garamond"/>
      <w:sz w:val="24"/>
    </w:rPr>
  </w:style>
  <w:style w:type="character" w:customStyle="1" w:styleId="oj-italic">
    <w:name w:val="oj-italic"/>
    <w:basedOn w:val="DefaultParagraphFont"/>
    <w:rsid w:val="005362FE"/>
  </w:style>
  <w:style w:type="table" w:styleId="TableGrid">
    <w:name w:val="Table Grid"/>
    <w:basedOn w:val="TableNormal"/>
    <w:uiPriority w:val="39"/>
    <w:rsid w:val="0030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455</Nr_x002e__x0020_akti>
    <Data_x0020_e_x0020_Krijimit xmlns="0e656187-b300-4fb0-8bf4-3a50f872073c">2023-08-07T10:37:33Z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2023-08-06T22:00:00Z</Date_x0020_protokolli>
    <Titulli xmlns="0e656187-b300-4fb0-8bf4-3a50f872073c">Për përditësimin e urdhrit të ministrit nr. 275, datë 5.5.2023, "Për miratimin e lëndëve vepruese dhe përbërësve të tjerë, në përmbajtje të PMB-ve"</Titulli>
    <Modifikuesi xmlns="0e656187-b300-4fb0-8bf4-3a50f872073c">alma.lisaku</Modifikuesi>
    <Nr_x002e__x0020_prot_x0020_QBZ xmlns="0e656187-b300-4fb0-8bf4-3a50f872073c">1245/2</Nr_x002e__x0020_prot_x0020_QBZ>
    <Data_x0020_e_x0020_Modifikimit xmlns="0e656187-b300-4fb0-8bf4-3a50f872073c">2023-08-08T09:30:23Z</Data_x0020_e_x0020_Modifikimit>
    <Dekretuar xmlns="0e656187-b300-4fb0-8bf4-3a50f872073c">false</Dekretuar>
    <Data xmlns="0e656187-b300-4fb0-8bf4-3a50f872073c">2023-08-01T22:00:00Z</Data>
    <Nr_x002e__x0020_protokolli_x0020_i_x0020_aktit xmlns="0e656187-b300-4fb0-8bf4-3a50f872073c">4263/1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1B870659D86422B8CCE60DFD286836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1B870659D86422B8CCE60DFD286836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84C16-CFDE-4EE9-90E6-EE93AAD36B5A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4BBF2163-1B59-483E-B97F-E4C9BE90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CC3496-092B-4B8A-A05C-F94338F1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C14580-6089-4410-875E-D0C410DB8F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44E10C-36DF-429C-ABCA-323C667AC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përditësimin e urdhrit të ministrit nr. 275, datë 5.5.2023, "Për miratimin e lëndëve vepruese dhe përbërësve të tjerë, në përmbajtje të PMB-ve"</vt:lpstr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përditësimin e urdhrit të ministrit nr. 275, datë 5.5.2023, "Për miratimin e lëndëve vepruese dhe përbërësve të tjerë, në përmbajtje të PMB-ve"</dc:title>
  <dc:creator>Entela Suli</dc:creator>
  <cp:lastModifiedBy>Administrator</cp:lastModifiedBy>
  <cp:revision>2</cp:revision>
  <dcterms:created xsi:type="dcterms:W3CDTF">2023-12-11T08:46:00Z</dcterms:created>
  <dcterms:modified xsi:type="dcterms:W3CDTF">2023-12-11T08:46:00Z</dcterms:modified>
</cp:coreProperties>
</file>